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EFB" w:rsidRPr="008B220C" w:rsidRDefault="002A479A" w:rsidP="00E5018E">
      <w:pPr>
        <w:spacing w:line="216" w:lineRule="auto"/>
        <w:ind w:left="5670"/>
        <w:rPr>
          <w:rFonts w:eastAsia="Calibri" w:cs="Times New Roman"/>
          <w:sz w:val="26"/>
          <w:szCs w:val="26"/>
          <w:lang w:val="uk-UA"/>
        </w:rPr>
      </w:pPr>
      <w:r w:rsidRPr="008B220C">
        <w:rPr>
          <w:rFonts w:eastAsia="Calibri" w:cs="Times New Roman"/>
          <w:b/>
          <w:sz w:val="26"/>
          <w:szCs w:val="26"/>
          <w:lang w:val="uk-UA"/>
        </w:rPr>
        <w:t xml:space="preserve">Додаток </w:t>
      </w:r>
    </w:p>
    <w:p w:rsidR="008F1EFB" w:rsidRPr="008B220C" w:rsidRDefault="002A479A" w:rsidP="00E5018E">
      <w:pPr>
        <w:spacing w:line="216" w:lineRule="auto"/>
        <w:ind w:left="5670"/>
        <w:rPr>
          <w:rFonts w:eastAsia="Calibri" w:cs="Times New Roman"/>
          <w:sz w:val="26"/>
          <w:szCs w:val="26"/>
          <w:lang w:val="uk-UA"/>
        </w:rPr>
      </w:pPr>
      <w:r w:rsidRPr="008B220C">
        <w:rPr>
          <w:rFonts w:eastAsia="Calibri" w:cs="Times New Roman"/>
          <w:sz w:val="26"/>
          <w:szCs w:val="26"/>
          <w:lang w:val="uk-UA"/>
        </w:rPr>
        <w:t xml:space="preserve">до </w:t>
      </w:r>
      <w:r w:rsidR="008F1EFB" w:rsidRPr="008B220C">
        <w:rPr>
          <w:rFonts w:eastAsia="Calibri" w:cs="Times New Roman"/>
          <w:sz w:val="26"/>
          <w:szCs w:val="26"/>
          <w:lang w:val="uk-UA"/>
        </w:rPr>
        <w:t xml:space="preserve">рішення </w:t>
      </w:r>
      <w:r w:rsidR="008F1EFB" w:rsidRPr="008B220C">
        <w:rPr>
          <w:rFonts w:cs="Times New Roman"/>
          <w:sz w:val="26"/>
          <w:szCs w:val="26"/>
          <w:lang w:val="uk-UA"/>
        </w:rPr>
        <w:t>Полтавської обласної ради</w:t>
      </w:r>
    </w:p>
    <w:p w:rsidR="008F1EFB" w:rsidRPr="008B220C" w:rsidRDefault="008F1EFB" w:rsidP="00E5018E">
      <w:pPr>
        <w:spacing w:line="216" w:lineRule="auto"/>
        <w:jc w:val="both"/>
        <w:rPr>
          <w:rFonts w:eastAsia="Calibri" w:cs="Times New Roman"/>
          <w:sz w:val="26"/>
          <w:szCs w:val="26"/>
          <w:lang w:val="uk-UA"/>
        </w:rPr>
      </w:pPr>
    </w:p>
    <w:p w:rsidR="008F1EFB" w:rsidRPr="008B220C" w:rsidRDefault="008F1EFB" w:rsidP="00E5018E">
      <w:pPr>
        <w:spacing w:line="216" w:lineRule="auto"/>
        <w:ind w:left="709" w:right="708"/>
        <w:jc w:val="center"/>
        <w:rPr>
          <w:rFonts w:eastAsia="Calibri" w:cs="Times New Roman"/>
          <w:b/>
          <w:sz w:val="26"/>
          <w:szCs w:val="26"/>
          <w:lang w:val="uk-UA"/>
        </w:rPr>
      </w:pPr>
      <w:r w:rsidRPr="008B220C">
        <w:rPr>
          <w:rFonts w:eastAsia="Calibri" w:cs="Times New Roman"/>
          <w:b/>
          <w:sz w:val="26"/>
          <w:szCs w:val="26"/>
          <w:lang w:val="uk-UA"/>
        </w:rPr>
        <w:t>Обласна цільова соціальна програма протидії захворюванню на туберкульоз на 201</w:t>
      </w:r>
      <w:r w:rsidRPr="008B220C">
        <w:rPr>
          <w:rFonts w:cs="Times New Roman"/>
          <w:b/>
          <w:sz w:val="26"/>
          <w:szCs w:val="26"/>
          <w:lang w:val="uk-UA"/>
        </w:rPr>
        <w:t>3</w:t>
      </w:r>
      <w:r w:rsidRPr="008B220C">
        <w:rPr>
          <w:rFonts w:eastAsia="Calibri" w:cs="Times New Roman"/>
          <w:b/>
          <w:sz w:val="26"/>
          <w:szCs w:val="26"/>
          <w:lang w:val="uk-UA"/>
        </w:rPr>
        <w:t>-2016роки</w:t>
      </w:r>
    </w:p>
    <w:p w:rsidR="008F1EFB" w:rsidRPr="008B220C" w:rsidRDefault="008F1EFB" w:rsidP="00E5018E">
      <w:pPr>
        <w:spacing w:line="216" w:lineRule="auto"/>
        <w:jc w:val="center"/>
        <w:rPr>
          <w:rFonts w:eastAsia="Calibri" w:cs="Times New Roman"/>
          <w:b/>
          <w:sz w:val="26"/>
          <w:szCs w:val="26"/>
          <w:lang w:val="uk-UA"/>
        </w:rPr>
      </w:pPr>
    </w:p>
    <w:p w:rsidR="008F1EFB" w:rsidRPr="008B220C" w:rsidRDefault="008F1EFB" w:rsidP="00E5018E">
      <w:pPr>
        <w:spacing w:line="216" w:lineRule="auto"/>
        <w:jc w:val="center"/>
        <w:rPr>
          <w:rFonts w:eastAsia="Calibri" w:cs="Times New Roman"/>
          <w:b/>
          <w:sz w:val="26"/>
          <w:szCs w:val="26"/>
          <w:lang w:val="uk-UA"/>
        </w:rPr>
      </w:pPr>
      <w:r w:rsidRPr="008B220C">
        <w:rPr>
          <w:rFonts w:eastAsia="Calibri" w:cs="Times New Roman"/>
          <w:b/>
          <w:sz w:val="26"/>
          <w:szCs w:val="26"/>
          <w:lang w:val="uk-UA"/>
        </w:rPr>
        <w:t>Загальна частина</w:t>
      </w:r>
    </w:p>
    <w:p w:rsidR="008F1EFB" w:rsidRPr="008B220C" w:rsidRDefault="008F1EFB" w:rsidP="00E5018E">
      <w:pPr>
        <w:spacing w:line="216" w:lineRule="auto"/>
        <w:ind w:left="360"/>
        <w:rPr>
          <w:rFonts w:eastAsia="Calibri" w:cs="Times New Roman"/>
          <w:sz w:val="26"/>
          <w:szCs w:val="26"/>
          <w:lang w:val="uk-UA"/>
        </w:rPr>
      </w:pPr>
    </w:p>
    <w:p w:rsidR="008F1EFB" w:rsidRPr="008B220C" w:rsidRDefault="008F1EFB" w:rsidP="00E5018E">
      <w:pPr>
        <w:spacing w:line="216" w:lineRule="auto"/>
        <w:ind w:firstLine="567"/>
        <w:jc w:val="both"/>
        <w:rPr>
          <w:rFonts w:eastAsia="Calibri" w:cs="Times New Roman"/>
          <w:sz w:val="26"/>
          <w:szCs w:val="26"/>
          <w:lang w:val="uk-UA"/>
        </w:rPr>
      </w:pPr>
      <w:r w:rsidRPr="008B220C">
        <w:rPr>
          <w:rFonts w:cs="Times New Roman"/>
          <w:sz w:val="26"/>
          <w:szCs w:val="26"/>
          <w:lang w:val="uk-UA"/>
        </w:rPr>
        <w:t>Керуючись Законом України «Про затвердження Загальнодержавної цільової соціальної програми протидії захворюванню на туберкульоз на 2012-2016 роки» від 16.10.2012 року №5451-VІ</w:t>
      </w:r>
      <w:r w:rsidRPr="008B220C">
        <w:rPr>
          <w:rFonts w:eastAsia="Calibri" w:cs="Times New Roman"/>
          <w:sz w:val="26"/>
          <w:szCs w:val="26"/>
          <w:lang w:val="uk-UA"/>
        </w:rPr>
        <w:t xml:space="preserve"> розроблено Обласну цільову соціальну програму протидії захворюванню на туберкульоз на 2013-2016 роки в Полтавській області. </w:t>
      </w:r>
    </w:p>
    <w:p w:rsidR="00A032F5" w:rsidRPr="008B220C" w:rsidRDefault="00A032F5" w:rsidP="00E5018E">
      <w:pPr>
        <w:spacing w:line="216" w:lineRule="auto"/>
        <w:jc w:val="center"/>
        <w:rPr>
          <w:rFonts w:eastAsia="Calibri" w:cs="Times New Roman"/>
          <w:b/>
          <w:sz w:val="26"/>
          <w:szCs w:val="26"/>
          <w:lang w:val="uk-UA"/>
        </w:rPr>
      </w:pPr>
    </w:p>
    <w:p w:rsidR="009F142B" w:rsidRPr="008B220C" w:rsidRDefault="009F142B" w:rsidP="00E5018E">
      <w:pPr>
        <w:spacing w:line="216" w:lineRule="auto"/>
        <w:jc w:val="center"/>
        <w:rPr>
          <w:rFonts w:eastAsia="Calibri" w:cs="Times New Roman"/>
          <w:b/>
          <w:sz w:val="26"/>
          <w:szCs w:val="26"/>
          <w:lang w:val="uk-UA"/>
        </w:rPr>
      </w:pPr>
      <w:r w:rsidRPr="008B220C">
        <w:rPr>
          <w:rFonts w:eastAsia="Calibri" w:cs="Times New Roman"/>
          <w:b/>
          <w:sz w:val="26"/>
          <w:szCs w:val="26"/>
          <w:lang w:val="uk-UA"/>
        </w:rPr>
        <w:t>Паспорт Програми</w:t>
      </w:r>
    </w:p>
    <w:p w:rsidR="009F142B" w:rsidRPr="008B220C" w:rsidRDefault="009F142B" w:rsidP="00E5018E">
      <w:pPr>
        <w:spacing w:line="216" w:lineRule="auto"/>
        <w:jc w:val="center"/>
        <w:rPr>
          <w:rFonts w:eastAsia="Calibri" w:cs="Times New Roman"/>
          <w:b/>
          <w:sz w:val="26"/>
          <w:szCs w:val="26"/>
          <w:lang w:val="uk-UA"/>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5"/>
        <w:gridCol w:w="4286"/>
        <w:gridCol w:w="5555"/>
      </w:tblGrid>
      <w:tr w:rsidR="009F142B" w:rsidRPr="008B220C" w:rsidTr="006006B7">
        <w:tc>
          <w:tcPr>
            <w:tcW w:w="615"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 xml:space="preserve">1. </w:t>
            </w:r>
          </w:p>
        </w:tc>
        <w:tc>
          <w:tcPr>
            <w:tcW w:w="4286"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Ініціатор розробки Програми</w:t>
            </w:r>
          </w:p>
        </w:tc>
        <w:tc>
          <w:tcPr>
            <w:tcW w:w="5555" w:type="dxa"/>
          </w:tcPr>
          <w:p w:rsidR="009F142B" w:rsidRPr="008B220C" w:rsidRDefault="009F142B" w:rsidP="00E5018E">
            <w:pPr>
              <w:spacing w:after="120" w:line="216" w:lineRule="auto"/>
              <w:rPr>
                <w:rFonts w:eastAsia="Calibri" w:cs="Times New Roman"/>
                <w:sz w:val="26"/>
                <w:szCs w:val="26"/>
                <w:lang w:val="uk-UA"/>
              </w:rPr>
            </w:pPr>
            <w:r w:rsidRPr="008B220C">
              <w:rPr>
                <w:rFonts w:eastAsia="Calibri" w:cs="Times New Roman"/>
                <w:sz w:val="26"/>
                <w:szCs w:val="26"/>
                <w:lang w:val="uk-UA"/>
              </w:rPr>
              <w:t>Полтавська обласна державна адміністрація</w:t>
            </w:r>
          </w:p>
        </w:tc>
      </w:tr>
      <w:tr w:rsidR="009F142B" w:rsidRPr="0071068C" w:rsidTr="006006B7">
        <w:tc>
          <w:tcPr>
            <w:tcW w:w="615"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 xml:space="preserve">2. </w:t>
            </w:r>
          </w:p>
        </w:tc>
        <w:tc>
          <w:tcPr>
            <w:tcW w:w="4286" w:type="dxa"/>
          </w:tcPr>
          <w:p w:rsidR="009F142B" w:rsidRPr="008B220C" w:rsidRDefault="009F142B" w:rsidP="002A479A">
            <w:pPr>
              <w:spacing w:after="120" w:line="216" w:lineRule="auto"/>
              <w:rPr>
                <w:rFonts w:eastAsia="Calibri" w:cs="Times New Roman"/>
                <w:sz w:val="26"/>
                <w:szCs w:val="26"/>
                <w:lang w:val="uk-UA"/>
              </w:rPr>
            </w:pPr>
            <w:r w:rsidRPr="008B220C">
              <w:rPr>
                <w:rFonts w:eastAsia="Calibri" w:cs="Times New Roman"/>
                <w:sz w:val="26"/>
                <w:szCs w:val="26"/>
                <w:lang w:val="uk-UA"/>
              </w:rPr>
              <w:t>Дата, номер і назва розпорядчого документа органу виконавчої влади про розроблення Програми</w:t>
            </w:r>
          </w:p>
        </w:tc>
        <w:tc>
          <w:tcPr>
            <w:tcW w:w="5555" w:type="dxa"/>
          </w:tcPr>
          <w:p w:rsidR="009F142B" w:rsidRPr="008B220C" w:rsidRDefault="00095C42" w:rsidP="00095C42">
            <w:pPr>
              <w:spacing w:after="120" w:line="216" w:lineRule="auto"/>
              <w:rPr>
                <w:rFonts w:eastAsia="Calibri" w:cs="Times New Roman"/>
                <w:sz w:val="26"/>
                <w:szCs w:val="26"/>
                <w:lang w:val="uk-UA"/>
              </w:rPr>
            </w:pPr>
            <w:r>
              <w:rPr>
                <w:rFonts w:eastAsia="Calibri" w:cs="Times New Roman"/>
                <w:sz w:val="26"/>
                <w:szCs w:val="26"/>
                <w:lang w:val="uk-UA"/>
              </w:rPr>
              <w:t>Доручення голови Полтавської обласної державної адміністрації № 04-04/40 від 09.04.2012 р.</w:t>
            </w:r>
          </w:p>
        </w:tc>
      </w:tr>
      <w:tr w:rsidR="009F142B" w:rsidRPr="008B220C" w:rsidTr="006006B7">
        <w:trPr>
          <w:trHeight w:val="692"/>
        </w:trPr>
        <w:tc>
          <w:tcPr>
            <w:tcW w:w="615"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3.</w:t>
            </w:r>
          </w:p>
        </w:tc>
        <w:tc>
          <w:tcPr>
            <w:tcW w:w="4286"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 xml:space="preserve">Розробник Програми </w:t>
            </w:r>
          </w:p>
        </w:tc>
        <w:tc>
          <w:tcPr>
            <w:tcW w:w="5555" w:type="dxa"/>
          </w:tcPr>
          <w:p w:rsidR="009F142B" w:rsidRPr="008B220C" w:rsidRDefault="009F142B" w:rsidP="00E5018E">
            <w:pPr>
              <w:spacing w:after="120" w:line="216" w:lineRule="auto"/>
              <w:rPr>
                <w:rFonts w:eastAsia="Calibri" w:cs="Times New Roman"/>
                <w:sz w:val="26"/>
                <w:szCs w:val="26"/>
                <w:lang w:val="uk-UA"/>
              </w:rPr>
            </w:pPr>
            <w:r w:rsidRPr="008B220C">
              <w:rPr>
                <w:rFonts w:eastAsia="Calibri" w:cs="Times New Roman"/>
                <w:sz w:val="26"/>
                <w:szCs w:val="26"/>
                <w:lang w:val="uk-UA"/>
              </w:rPr>
              <w:t xml:space="preserve">Департамент охорони здоров’я Полтавської обласної державної адміністрації </w:t>
            </w:r>
          </w:p>
        </w:tc>
      </w:tr>
      <w:tr w:rsidR="009F142B" w:rsidRPr="008B220C" w:rsidTr="006006B7">
        <w:tc>
          <w:tcPr>
            <w:tcW w:w="615"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4.</w:t>
            </w:r>
          </w:p>
        </w:tc>
        <w:tc>
          <w:tcPr>
            <w:tcW w:w="4286" w:type="dxa"/>
          </w:tcPr>
          <w:p w:rsidR="009F142B" w:rsidRPr="008B220C" w:rsidRDefault="002A479A" w:rsidP="002A479A">
            <w:pPr>
              <w:spacing w:after="120" w:line="216" w:lineRule="auto"/>
              <w:jc w:val="both"/>
              <w:rPr>
                <w:rFonts w:eastAsia="Calibri" w:cs="Times New Roman"/>
                <w:sz w:val="26"/>
                <w:szCs w:val="26"/>
                <w:lang w:val="uk-UA"/>
              </w:rPr>
            </w:pPr>
            <w:r w:rsidRPr="008B220C">
              <w:rPr>
                <w:rFonts w:eastAsia="Calibri" w:cs="Times New Roman"/>
                <w:sz w:val="26"/>
                <w:szCs w:val="26"/>
                <w:lang w:val="uk-UA"/>
              </w:rPr>
              <w:t xml:space="preserve">Відповідальний виконавець </w:t>
            </w:r>
            <w:r w:rsidR="009F142B" w:rsidRPr="008B220C">
              <w:rPr>
                <w:rFonts w:eastAsia="Calibri" w:cs="Times New Roman"/>
                <w:sz w:val="26"/>
                <w:szCs w:val="26"/>
                <w:lang w:val="uk-UA"/>
              </w:rPr>
              <w:t xml:space="preserve">Програми </w:t>
            </w:r>
          </w:p>
        </w:tc>
        <w:tc>
          <w:tcPr>
            <w:tcW w:w="5555" w:type="dxa"/>
          </w:tcPr>
          <w:p w:rsidR="009F142B" w:rsidRPr="008B220C" w:rsidRDefault="009F142B" w:rsidP="00E5018E">
            <w:pPr>
              <w:spacing w:after="120" w:line="216" w:lineRule="auto"/>
              <w:rPr>
                <w:rFonts w:eastAsia="Calibri" w:cs="Times New Roman"/>
                <w:sz w:val="26"/>
                <w:szCs w:val="26"/>
                <w:lang w:val="uk-UA"/>
              </w:rPr>
            </w:pPr>
            <w:r w:rsidRPr="008B220C">
              <w:rPr>
                <w:rFonts w:eastAsia="Calibri" w:cs="Times New Roman"/>
                <w:sz w:val="26"/>
                <w:szCs w:val="26"/>
                <w:lang w:val="uk-UA"/>
              </w:rPr>
              <w:t xml:space="preserve">Департамент охорони здоров’я Полтавської обласної державної адміністрації </w:t>
            </w:r>
          </w:p>
        </w:tc>
      </w:tr>
      <w:tr w:rsidR="009F142B" w:rsidRPr="0071068C" w:rsidTr="006006B7">
        <w:tc>
          <w:tcPr>
            <w:tcW w:w="615"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5.</w:t>
            </w:r>
          </w:p>
        </w:tc>
        <w:tc>
          <w:tcPr>
            <w:tcW w:w="4286"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 xml:space="preserve">Учасники Програми </w:t>
            </w:r>
          </w:p>
        </w:tc>
        <w:tc>
          <w:tcPr>
            <w:tcW w:w="5555" w:type="dxa"/>
          </w:tcPr>
          <w:p w:rsidR="009F142B" w:rsidRPr="008B220C" w:rsidRDefault="009F142B" w:rsidP="00E5018E">
            <w:pPr>
              <w:spacing w:after="120" w:line="216" w:lineRule="auto"/>
              <w:rPr>
                <w:rFonts w:eastAsia="Calibri" w:cs="Times New Roman"/>
                <w:sz w:val="26"/>
                <w:szCs w:val="26"/>
                <w:lang w:val="uk-UA"/>
              </w:rPr>
            </w:pPr>
            <w:r w:rsidRPr="008B220C">
              <w:rPr>
                <w:rFonts w:eastAsia="Calibri" w:cs="Times New Roman"/>
                <w:sz w:val="26"/>
                <w:szCs w:val="26"/>
                <w:lang w:val="uk-UA"/>
              </w:rPr>
              <w:t>Департамент охорони здоров’я Полтавської обласної державної адміністрації,</w:t>
            </w:r>
          </w:p>
          <w:p w:rsidR="001C5E1F" w:rsidRPr="008B220C" w:rsidRDefault="001C5E1F" w:rsidP="00E5018E">
            <w:pPr>
              <w:spacing w:after="120" w:line="216" w:lineRule="auto"/>
              <w:rPr>
                <w:rFonts w:eastAsia="Calibri" w:cs="Times New Roman"/>
                <w:sz w:val="26"/>
                <w:szCs w:val="26"/>
                <w:lang w:val="uk-UA"/>
              </w:rPr>
            </w:pPr>
            <w:r w:rsidRPr="008B220C">
              <w:rPr>
                <w:rFonts w:eastAsia="Calibri" w:cs="Times New Roman"/>
                <w:sz w:val="26"/>
                <w:szCs w:val="26"/>
                <w:lang w:val="uk-UA"/>
              </w:rPr>
              <w:t>Управління капітального будівництва Полтавської обласної державної адміністрації,</w:t>
            </w:r>
          </w:p>
          <w:p w:rsidR="009F142B" w:rsidRPr="008B220C" w:rsidRDefault="009F142B" w:rsidP="00E5018E">
            <w:pPr>
              <w:spacing w:after="120" w:line="216" w:lineRule="auto"/>
              <w:rPr>
                <w:rFonts w:eastAsia="Calibri" w:cs="Times New Roman"/>
                <w:sz w:val="26"/>
                <w:szCs w:val="26"/>
                <w:lang w:val="uk-UA"/>
              </w:rPr>
            </w:pPr>
            <w:r w:rsidRPr="008B220C">
              <w:rPr>
                <w:rFonts w:eastAsia="Calibri" w:cs="Times New Roman"/>
                <w:sz w:val="26"/>
                <w:szCs w:val="26"/>
                <w:lang w:val="uk-UA"/>
              </w:rPr>
              <w:t xml:space="preserve">Управління Міністерства внутрішніх справ України в Полтавській області, </w:t>
            </w:r>
          </w:p>
          <w:p w:rsidR="009F142B" w:rsidRPr="008B220C" w:rsidRDefault="009F142B" w:rsidP="00E5018E">
            <w:pPr>
              <w:spacing w:after="120" w:line="216" w:lineRule="auto"/>
              <w:rPr>
                <w:rFonts w:eastAsia="Calibri" w:cs="Times New Roman"/>
                <w:sz w:val="26"/>
                <w:szCs w:val="26"/>
                <w:lang w:val="uk-UA"/>
              </w:rPr>
            </w:pPr>
            <w:r w:rsidRPr="008B220C">
              <w:rPr>
                <w:rFonts w:eastAsia="Calibri" w:cs="Times New Roman"/>
                <w:sz w:val="26"/>
                <w:szCs w:val="26"/>
                <w:lang w:val="uk-UA"/>
              </w:rPr>
              <w:t xml:space="preserve">Управління Державної пенітенціарної служби України в Полтавській області, </w:t>
            </w:r>
          </w:p>
          <w:p w:rsidR="009F142B" w:rsidRPr="008B220C" w:rsidRDefault="009F142B" w:rsidP="00E5018E">
            <w:pPr>
              <w:spacing w:after="120" w:line="216" w:lineRule="auto"/>
              <w:rPr>
                <w:rFonts w:eastAsia="Calibri" w:cs="Times New Roman"/>
                <w:sz w:val="26"/>
                <w:szCs w:val="26"/>
                <w:lang w:val="uk-UA"/>
              </w:rPr>
            </w:pPr>
            <w:r w:rsidRPr="008B220C">
              <w:rPr>
                <w:rFonts w:eastAsia="Calibri" w:cs="Times New Roman"/>
                <w:sz w:val="26"/>
                <w:szCs w:val="26"/>
                <w:lang w:val="uk-UA"/>
              </w:rPr>
              <w:t>Департамент праці та соціального захисту населення Полтавської обласної державної адміністрації,</w:t>
            </w:r>
          </w:p>
          <w:p w:rsidR="009F142B" w:rsidRPr="008B220C" w:rsidRDefault="009F142B" w:rsidP="00E5018E">
            <w:pPr>
              <w:spacing w:after="120" w:line="216" w:lineRule="auto"/>
              <w:rPr>
                <w:rFonts w:eastAsia="Calibri" w:cs="Times New Roman"/>
                <w:sz w:val="26"/>
                <w:szCs w:val="26"/>
                <w:lang w:val="uk-UA"/>
              </w:rPr>
            </w:pPr>
            <w:r w:rsidRPr="008B220C">
              <w:rPr>
                <w:rFonts w:eastAsia="Calibri" w:cs="Times New Roman"/>
                <w:sz w:val="26"/>
                <w:szCs w:val="26"/>
                <w:lang w:val="uk-UA"/>
              </w:rPr>
              <w:t>Полтавський обласний центр соціальних служб для сім’ї, дітей та молоді,</w:t>
            </w:r>
          </w:p>
          <w:p w:rsidR="009F142B" w:rsidRPr="008B220C" w:rsidRDefault="009F142B" w:rsidP="00E5018E">
            <w:pPr>
              <w:spacing w:after="120" w:line="216" w:lineRule="auto"/>
              <w:rPr>
                <w:rFonts w:eastAsia="Calibri" w:cs="Times New Roman"/>
                <w:sz w:val="26"/>
                <w:szCs w:val="26"/>
                <w:lang w:val="uk-UA"/>
              </w:rPr>
            </w:pPr>
            <w:r w:rsidRPr="008B220C">
              <w:rPr>
                <w:rFonts w:eastAsia="Calibri" w:cs="Times New Roman"/>
                <w:sz w:val="26"/>
                <w:szCs w:val="26"/>
                <w:lang w:val="uk-UA"/>
              </w:rPr>
              <w:t xml:space="preserve">міськвиконкоми, райдержадміністрації, </w:t>
            </w:r>
          </w:p>
          <w:p w:rsidR="009F142B" w:rsidRPr="008B220C" w:rsidRDefault="009F142B" w:rsidP="00E5018E">
            <w:pPr>
              <w:spacing w:after="120" w:line="216" w:lineRule="auto"/>
              <w:rPr>
                <w:rFonts w:eastAsia="Calibri" w:cs="Times New Roman"/>
                <w:sz w:val="26"/>
                <w:szCs w:val="26"/>
                <w:lang w:val="uk-UA"/>
              </w:rPr>
            </w:pPr>
            <w:r w:rsidRPr="008B220C">
              <w:rPr>
                <w:rFonts w:eastAsia="Calibri" w:cs="Times New Roman"/>
                <w:sz w:val="26"/>
                <w:szCs w:val="26"/>
                <w:lang w:val="uk-UA"/>
              </w:rPr>
              <w:t>неурядові громадські організації</w:t>
            </w:r>
          </w:p>
        </w:tc>
      </w:tr>
      <w:tr w:rsidR="009F142B" w:rsidRPr="008B220C" w:rsidTr="006006B7">
        <w:trPr>
          <w:trHeight w:val="347"/>
        </w:trPr>
        <w:tc>
          <w:tcPr>
            <w:tcW w:w="615"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6.</w:t>
            </w:r>
          </w:p>
        </w:tc>
        <w:tc>
          <w:tcPr>
            <w:tcW w:w="4286"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 xml:space="preserve">Термін реалізації Програми </w:t>
            </w:r>
          </w:p>
        </w:tc>
        <w:tc>
          <w:tcPr>
            <w:tcW w:w="5555" w:type="dxa"/>
          </w:tcPr>
          <w:p w:rsidR="009F142B" w:rsidRPr="008B220C" w:rsidRDefault="009F142B"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201</w:t>
            </w:r>
            <w:r w:rsidRPr="008B220C">
              <w:rPr>
                <w:rFonts w:cs="Times New Roman"/>
                <w:sz w:val="26"/>
                <w:szCs w:val="26"/>
                <w:lang w:val="uk-UA"/>
              </w:rPr>
              <w:t>3</w:t>
            </w:r>
            <w:r w:rsidRPr="008B220C">
              <w:rPr>
                <w:rFonts w:eastAsia="Calibri" w:cs="Times New Roman"/>
                <w:sz w:val="26"/>
                <w:szCs w:val="26"/>
                <w:lang w:val="uk-UA"/>
              </w:rPr>
              <w:t xml:space="preserve">-2016 роки </w:t>
            </w:r>
          </w:p>
        </w:tc>
      </w:tr>
      <w:tr w:rsidR="009F142B" w:rsidRPr="008B220C" w:rsidTr="006006B7">
        <w:tc>
          <w:tcPr>
            <w:tcW w:w="615" w:type="dxa"/>
          </w:tcPr>
          <w:p w:rsidR="009F142B" w:rsidRPr="008B220C" w:rsidRDefault="00875833" w:rsidP="00E5018E">
            <w:pPr>
              <w:spacing w:line="216" w:lineRule="auto"/>
              <w:jc w:val="both"/>
              <w:rPr>
                <w:rFonts w:eastAsia="Calibri" w:cs="Times New Roman"/>
                <w:sz w:val="26"/>
                <w:szCs w:val="26"/>
                <w:lang w:val="uk-UA"/>
              </w:rPr>
            </w:pPr>
            <w:r w:rsidRPr="008B220C">
              <w:rPr>
                <w:rFonts w:eastAsia="Calibri" w:cs="Times New Roman"/>
                <w:sz w:val="26"/>
                <w:szCs w:val="26"/>
                <w:lang w:val="uk-UA"/>
              </w:rPr>
              <w:t>7</w:t>
            </w:r>
            <w:r w:rsidR="009F142B" w:rsidRPr="008B220C">
              <w:rPr>
                <w:rFonts w:eastAsia="Calibri" w:cs="Times New Roman"/>
                <w:sz w:val="26"/>
                <w:szCs w:val="26"/>
                <w:lang w:val="uk-UA"/>
              </w:rPr>
              <w:t>.</w:t>
            </w:r>
          </w:p>
        </w:tc>
        <w:tc>
          <w:tcPr>
            <w:tcW w:w="4286" w:type="dxa"/>
          </w:tcPr>
          <w:p w:rsidR="009F142B" w:rsidRPr="008B220C" w:rsidRDefault="009F142B" w:rsidP="00E5018E">
            <w:pPr>
              <w:spacing w:line="216" w:lineRule="auto"/>
              <w:jc w:val="both"/>
              <w:rPr>
                <w:rFonts w:eastAsia="Calibri" w:cs="Times New Roman"/>
                <w:sz w:val="26"/>
                <w:szCs w:val="26"/>
                <w:lang w:val="uk-UA"/>
              </w:rPr>
            </w:pPr>
            <w:r w:rsidRPr="008B220C">
              <w:rPr>
                <w:rFonts w:eastAsia="Calibri" w:cs="Times New Roman"/>
                <w:sz w:val="26"/>
                <w:szCs w:val="26"/>
                <w:lang w:val="uk-UA"/>
              </w:rPr>
              <w:t xml:space="preserve">Перелік бюджетів, </w:t>
            </w:r>
          </w:p>
          <w:p w:rsidR="009F142B" w:rsidRPr="008B220C" w:rsidRDefault="009F142B" w:rsidP="00E5018E">
            <w:pPr>
              <w:spacing w:line="216" w:lineRule="auto"/>
              <w:jc w:val="both"/>
              <w:rPr>
                <w:rFonts w:eastAsia="Calibri" w:cs="Times New Roman"/>
                <w:sz w:val="26"/>
                <w:szCs w:val="26"/>
                <w:lang w:val="uk-UA"/>
              </w:rPr>
            </w:pPr>
            <w:r w:rsidRPr="008B220C">
              <w:rPr>
                <w:rFonts w:eastAsia="Calibri" w:cs="Times New Roman"/>
                <w:sz w:val="26"/>
                <w:szCs w:val="26"/>
                <w:lang w:val="uk-UA"/>
              </w:rPr>
              <w:t xml:space="preserve">які беруть участь у </w:t>
            </w:r>
          </w:p>
          <w:p w:rsidR="009F142B" w:rsidRPr="008B220C" w:rsidRDefault="009F142B" w:rsidP="00E5018E">
            <w:pPr>
              <w:spacing w:line="216" w:lineRule="auto"/>
              <w:jc w:val="both"/>
              <w:rPr>
                <w:rFonts w:eastAsia="Calibri" w:cs="Times New Roman"/>
                <w:sz w:val="26"/>
                <w:szCs w:val="26"/>
                <w:lang w:val="uk-UA"/>
              </w:rPr>
            </w:pPr>
            <w:r w:rsidRPr="008B220C">
              <w:rPr>
                <w:rFonts w:eastAsia="Calibri" w:cs="Times New Roman"/>
                <w:sz w:val="26"/>
                <w:szCs w:val="26"/>
                <w:lang w:val="uk-UA"/>
              </w:rPr>
              <w:t>виконанні Програми</w:t>
            </w:r>
          </w:p>
        </w:tc>
        <w:tc>
          <w:tcPr>
            <w:tcW w:w="5555" w:type="dxa"/>
          </w:tcPr>
          <w:p w:rsidR="009F142B" w:rsidRPr="008B220C" w:rsidRDefault="009F142B" w:rsidP="00E5018E">
            <w:pPr>
              <w:spacing w:line="216" w:lineRule="auto"/>
              <w:jc w:val="both"/>
              <w:rPr>
                <w:rFonts w:eastAsia="Calibri" w:cs="Times New Roman"/>
                <w:sz w:val="26"/>
                <w:szCs w:val="26"/>
                <w:lang w:val="uk-UA"/>
              </w:rPr>
            </w:pPr>
            <w:r w:rsidRPr="008B220C">
              <w:rPr>
                <w:rFonts w:eastAsia="Calibri" w:cs="Times New Roman"/>
                <w:sz w:val="26"/>
                <w:szCs w:val="26"/>
                <w:lang w:val="uk-UA"/>
              </w:rPr>
              <w:t>Державний, обласний, районний, міський, кошти Глобального фонду, інші джерела фінансування</w:t>
            </w:r>
          </w:p>
          <w:p w:rsidR="00A032F5" w:rsidRPr="008B220C" w:rsidRDefault="00A032F5" w:rsidP="00E5018E">
            <w:pPr>
              <w:spacing w:line="216" w:lineRule="auto"/>
              <w:jc w:val="both"/>
              <w:rPr>
                <w:rFonts w:eastAsia="Calibri" w:cs="Times New Roman"/>
                <w:sz w:val="26"/>
                <w:szCs w:val="26"/>
                <w:lang w:val="uk-UA"/>
              </w:rPr>
            </w:pPr>
          </w:p>
        </w:tc>
      </w:tr>
      <w:tr w:rsidR="009F142B" w:rsidRPr="008B220C" w:rsidTr="006006B7">
        <w:tc>
          <w:tcPr>
            <w:tcW w:w="615" w:type="dxa"/>
          </w:tcPr>
          <w:p w:rsidR="009F142B" w:rsidRPr="008B220C" w:rsidRDefault="00875833" w:rsidP="00E5018E">
            <w:pPr>
              <w:spacing w:after="120" w:line="216" w:lineRule="auto"/>
              <w:jc w:val="both"/>
              <w:rPr>
                <w:rFonts w:eastAsia="Calibri" w:cs="Times New Roman"/>
                <w:sz w:val="26"/>
                <w:szCs w:val="26"/>
                <w:lang w:val="uk-UA"/>
              </w:rPr>
            </w:pPr>
            <w:r w:rsidRPr="008B220C">
              <w:rPr>
                <w:rFonts w:eastAsia="Calibri" w:cs="Times New Roman"/>
                <w:sz w:val="26"/>
                <w:szCs w:val="26"/>
                <w:lang w:val="uk-UA"/>
              </w:rPr>
              <w:t>8</w:t>
            </w:r>
            <w:r w:rsidR="009F142B" w:rsidRPr="008B220C">
              <w:rPr>
                <w:rFonts w:eastAsia="Calibri" w:cs="Times New Roman"/>
                <w:sz w:val="26"/>
                <w:szCs w:val="26"/>
                <w:lang w:val="uk-UA"/>
              </w:rPr>
              <w:t>.</w:t>
            </w:r>
          </w:p>
        </w:tc>
        <w:tc>
          <w:tcPr>
            <w:tcW w:w="4286" w:type="dxa"/>
          </w:tcPr>
          <w:p w:rsidR="009F142B" w:rsidRPr="008B220C" w:rsidRDefault="009F142B" w:rsidP="002A479A">
            <w:pPr>
              <w:spacing w:after="120" w:line="216" w:lineRule="auto"/>
              <w:rPr>
                <w:rFonts w:eastAsia="Calibri" w:cs="Times New Roman"/>
                <w:sz w:val="26"/>
                <w:szCs w:val="26"/>
                <w:lang w:val="uk-UA"/>
              </w:rPr>
            </w:pPr>
            <w:r w:rsidRPr="008B220C">
              <w:rPr>
                <w:rFonts w:eastAsia="Calibri" w:cs="Times New Roman"/>
                <w:sz w:val="26"/>
                <w:szCs w:val="26"/>
                <w:lang w:val="uk-UA"/>
              </w:rPr>
              <w:t>Загальний орієнтовний обсяг фінансових ресурсів, необхідних для реалізації Програми, всього:</w:t>
            </w:r>
          </w:p>
        </w:tc>
        <w:tc>
          <w:tcPr>
            <w:tcW w:w="5555" w:type="dxa"/>
            <w:shd w:val="clear" w:color="auto" w:fill="auto"/>
            <w:vAlign w:val="center"/>
          </w:tcPr>
          <w:p w:rsidR="009F142B" w:rsidRPr="008B220C" w:rsidRDefault="00183A25" w:rsidP="00E5018E">
            <w:pPr>
              <w:spacing w:after="120" w:line="216" w:lineRule="auto"/>
              <w:rPr>
                <w:rFonts w:eastAsia="Calibri" w:cs="Times New Roman"/>
                <w:sz w:val="26"/>
                <w:szCs w:val="26"/>
                <w:lang w:val="uk-UA"/>
              </w:rPr>
            </w:pPr>
            <w:r w:rsidRPr="008B220C">
              <w:rPr>
                <w:rFonts w:cs="Times New Roman"/>
                <w:sz w:val="26"/>
                <w:szCs w:val="26"/>
                <w:lang w:val="uk-UA"/>
              </w:rPr>
              <w:t>86078,1</w:t>
            </w:r>
            <w:r w:rsidR="009F142B" w:rsidRPr="008B220C">
              <w:rPr>
                <w:rFonts w:eastAsia="Calibri" w:cs="Times New Roman"/>
                <w:sz w:val="26"/>
                <w:szCs w:val="26"/>
                <w:lang w:val="uk-UA"/>
              </w:rPr>
              <w:t xml:space="preserve"> тис. грн.</w:t>
            </w:r>
          </w:p>
        </w:tc>
      </w:tr>
      <w:tr w:rsidR="009F142B" w:rsidRPr="008B220C" w:rsidTr="006006B7">
        <w:trPr>
          <w:trHeight w:val="557"/>
        </w:trPr>
        <w:tc>
          <w:tcPr>
            <w:tcW w:w="615" w:type="dxa"/>
          </w:tcPr>
          <w:p w:rsidR="009F142B" w:rsidRPr="008B220C" w:rsidRDefault="009F142B" w:rsidP="00E5018E">
            <w:pPr>
              <w:spacing w:after="120" w:line="216" w:lineRule="auto"/>
              <w:jc w:val="both"/>
              <w:rPr>
                <w:rFonts w:eastAsia="Calibri" w:cs="Times New Roman"/>
                <w:sz w:val="26"/>
                <w:szCs w:val="26"/>
                <w:lang w:val="uk-UA"/>
              </w:rPr>
            </w:pPr>
          </w:p>
        </w:tc>
        <w:tc>
          <w:tcPr>
            <w:tcW w:w="4286" w:type="dxa"/>
          </w:tcPr>
          <w:p w:rsidR="009F142B" w:rsidRPr="008B220C" w:rsidRDefault="009F142B" w:rsidP="002A479A">
            <w:pPr>
              <w:spacing w:after="120" w:line="216" w:lineRule="auto"/>
              <w:rPr>
                <w:rFonts w:eastAsia="Calibri" w:cs="Times New Roman"/>
                <w:sz w:val="26"/>
                <w:szCs w:val="26"/>
                <w:lang w:val="uk-UA"/>
              </w:rPr>
            </w:pPr>
            <w:r w:rsidRPr="008B220C">
              <w:rPr>
                <w:rFonts w:eastAsia="Calibri" w:cs="Times New Roman"/>
                <w:sz w:val="26"/>
                <w:szCs w:val="26"/>
                <w:lang w:val="uk-UA"/>
              </w:rPr>
              <w:t>у тому числі коштів обласного бюджету</w:t>
            </w:r>
          </w:p>
        </w:tc>
        <w:tc>
          <w:tcPr>
            <w:tcW w:w="5555" w:type="dxa"/>
            <w:shd w:val="clear" w:color="auto" w:fill="auto"/>
            <w:vAlign w:val="center"/>
          </w:tcPr>
          <w:p w:rsidR="009F142B" w:rsidRPr="008B220C" w:rsidRDefault="00183A25" w:rsidP="00E5018E">
            <w:pPr>
              <w:spacing w:after="120" w:line="216" w:lineRule="auto"/>
              <w:rPr>
                <w:rFonts w:eastAsia="Calibri" w:cs="Times New Roman"/>
                <w:bCs/>
                <w:sz w:val="26"/>
                <w:szCs w:val="26"/>
                <w:lang w:val="uk-UA"/>
              </w:rPr>
            </w:pPr>
            <w:r w:rsidRPr="008B220C">
              <w:rPr>
                <w:rFonts w:cs="Times New Roman"/>
                <w:sz w:val="26"/>
                <w:szCs w:val="26"/>
                <w:lang w:val="uk-UA"/>
              </w:rPr>
              <w:t>26206,8</w:t>
            </w:r>
            <w:r w:rsidR="00311723" w:rsidRPr="008B220C">
              <w:rPr>
                <w:rFonts w:cs="Times New Roman"/>
                <w:sz w:val="26"/>
                <w:szCs w:val="26"/>
                <w:lang w:val="uk-UA"/>
              </w:rPr>
              <w:t xml:space="preserve"> </w:t>
            </w:r>
            <w:r w:rsidR="009F142B" w:rsidRPr="008B220C">
              <w:rPr>
                <w:rFonts w:eastAsia="Calibri" w:cs="Times New Roman"/>
                <w:bCs/>
                <w:sz w:val="26"/>
                <w:szCs w:val="26"/>
                <w:lang w:val="uk-UA"/>
              </w:rPr>
              <w:t>тис. грн.</w:t>
            </w:r>
          </w:p>
        </w:tc>
      </w:tr>
    </w:tbl>
    <w:p w:rsidR="00A032F5" w:rsidRPr="008B220C" w:rsidRDefault="00A032F5" w:rsidP="00E5018E">
      <w:pPr>
        <w:spacing w:line="216" w:lineRule="auto"/>
        <w:jc w:val="center"/>
        <w:rPr>
          <w:rFonts w:cs="Times New Roman"/>
          <w:b/>
          <w:sz w:val="26"/>
          <w:szCs w:val="26"/>
          <w:lang w:val="uk-UA"/>
        </w:rPr>
      </w:pPr>
    </w:p>
    <w:p w:rsidR="001F31A9" w:rsidRPr="008B220C" w:rsidRDefault="009F142B" w:rsidP="00E5018E">
      <w:pPr>
        <w:spacing w:line="216" w:lineRule="auto"/>
        <w:jc w:val="center"/>
        <w:rPr>
          <w:rFonts w:cs="Times New Roman"/>
          <w:b/>
          <w:sz w:val="26"/>
          <w:szCs w:val="26"/>
          <w:lang w:val="uk-UA"/>
        </w:rPr>
      </w:pPr>
      <w:r w:rsidRPr="008B220C">
        <w:rPr>
          <w:rFonts w:cs="Times New Roman"/>
          <w:b/>
          <w:sz w:val="26"/>
          <w:szCs w:val="26"/>
          <w:lang w:val="uk-UA"/>
        </w:rPr>
        <w:t>Ресурсне забезпечення Програми</w:t>
      </w:r>
    </w:p>
    <w:p w:rsidR="009F142B" w:rsidRPr="008B220C" w:rsidRDefault="009F142B" w:rsidP="00E5018E">
      <w:pPr>
        <w:spacing w:line="216" w:lineRule="auto"/>
        <w:jc w:val="center"/>
        <w:rPr>
          <w:rFonts w:cs="Times New Roman"/>
          <w:b/>
          <w:sz w:val="26"/>
          <w:szCs w:val="26"/>
          <w:lang w:val="uk-UA"/>
        </w:rPr>
      </w:pPr>
    </w:p>
    <w:p w:rsidR="00002513" w:rsidRPr="008B220C" w:rsidRDefault="00002513" w:rsidP="00E5018E">
      <w:pPr>
        <w:shd w:val="clear" w:color="auto" w:fill="FFFFFF"/>
        <w:spacing w:line="216" w:lineRule="auto"/>
        <w:ind w:left="10" w:right="-1" w:firstLine="710"/>
        <w:jc w:val="both"/>
        <w:rPr>
          <w:rFonts w:eastAsia="Calibri" w:cs="Times New Roman"/>
          <w:color w:val="000000"/>
          <w:sz w:val="26"/>
          <w:szCs w:val="26"/>
          <w:lang w:val="uk-UA"/>
        </w:rPr>
      </w:pPr>
      <w:r w:rsidRPr="008B220C">
        <w:rPr>
          <w:rFonts w:eastAsia="Calibri" w:cs="Times New Roman"/>
          <w:color w:val="000000"/>
          <w:sz w:val="26"/>
          <w:szCs w:val="26"/>
          <w:lang w:val="uk-UA"/>
        </w:rPr>
        <w:t>Фінансування Програми здійснюватиметься у межах асигнувань, передбачених на охорону здоров’я в обласному, районних та міських бюджетах, а також інших джерел, не заборонених чинним законодавством.</w:t>
      </w:r>
    </w:p>
    <w:p w:rsidR="00002513" w:rsidRPr="008B220C" w:rsidRDefault="00002513" w:rsidP="00E5018E">
      <w:pPr>
        <w:shd w:val="clear" w:color="auto" w:fill="FFFFFF"/>
        <w:spacing w:line="216" w:lineRule="auto"/>
        <w:ind w:left="10" w:right="-1" w:firstLine="710"/>
        <w:jc w:val="both"/>
        <w:rPr>
          <w:rFonts w:eastAsia="Calibri" w:cs="Times New Roman"/>
          <w:color w:val="000000"/>
          <w:sz w:val="26"/>
          <w:szCs w:val="26"/>
          <w:lang w:val="uk-UA"/>
        </w:rPr>
      </w:pPr>
      <w:r w:rsidRPr="008B220C">
        <w:rPr>
          <w:rFonts w:eastAsia="Calibri" w:cs="Times New Roman"/>
          <w:color w:val="000000"/>
          <w:sz w:val="26"/>
          <w:szCs w:val="26"/>
          <w:lang w:val="uk-UA"/>
        </w:rPr>
        <w:t>Обсяг фінансування програми визначається щороку, виходячи з конкретних завдань та реальних можливостей.</w:t>
      </w:r>
    </w:p>
    <w:p w:rsidR="00002513" w:rsidRPr="008B220C" w:rsidRDefault="00002513" w:rsidP="00E5018E">
      <w:pPr>
        <w:spacing w:line="216" w:lineRule="auto"/>
        <w:jc w:val="both"/>
        <w:rPr>
          <w:rFonts w:cs="Times New Roman"/>
          <w:b/>
          <w:sz w:val="26"/>
          <w:szCs w:val="26"/>
          <w:lang w:val="uk-UA"/>
        </w:rPr>
      </w:pPr>
    </w:p>
    <w:tbl>
      <w:tblPr>
        <w:tblStyle w:val="a3"/>
        <w:tblW w:w="10740" w:type="dxa"/>
        <w:tblLook w:val="04A0"/>
      </w:tblPr>
      <w:tblGrid>
        <w:gridCol w:w="3369"/>
        <w:gridCol w:w="1255"/>
        <w:gridCol w:w="1255"/>
        <w:gridCol w:w="1256"/>
        <w:gridCol w:w="1256"/>
        <w:gridCol w:w="2349"/>
      </w:tblGrid>
      <w:tr w:rsidR="00183A25" w:rsidRPr="008B220C" w:rsidTr="006006B7">
        <w:trPr>
          <w:trHeight w:val="654"/>
        </w:trPr>
        <w:tc>
          <w:tcPr>
            <w:tcW w:w="3369" w:type="dxa"/>
            <w:vMerge w:val="restart"/>
            <w:vAlign w:val="center"/>
          </w:tcPr>
          <w:p w:rsidR="00875833" w:rsidRPr="008B220C" w:rsidRDefault="00875833" w:rsidP="00E5018E">
            <w:pPr>
              <w:spacing w:line="216" w:lineRule="auto"/>
              <w:jc w:val="center"/>
              <w:rPr>
                <w:rFonts w:cs="Times New Roman"/>
                <w:sz w:val="26"/>
                <w:szCs w:val="26"/>
                <w:lang w:val="uk-UA"/>
              </w:rPr>
            </w:pPr>
            <w:r w:rsidRPr="008B220C">
              <w:rPr>
                <w:rFonts w:cs="Times New Roman"/>
                <w:sz w:val="26"/>
                <w:szCs w:val="26"/>
                <w:lang w:val="uk-UA"/>
              </w:rPr>
              <w:t>Обсяг коштів, які пропонується залучити на виконання Програми</w:t>
            </w:r>
          </w:p>
        </w:tc>
        <w:tc>
          <w:tcPr>
            <w:tcW w:w="5022" w:type="dxa"/>
            <w:gridSpan w:val="4"/>
            <w:vAlign w:val="center"/>
          </w:tcPr>
          <w:p w:rsidR="00875833" w:rsidRPr="008B220C" w:rsidRDefault="00875833" w:rsidP="00E5018E">
            <w:pPr>
              <w:spacing w:line="216" w:lineRule="auto"/>
              <w:jc w:val="center"/>
              <w:rPr>
                <w:rFonts w:cs="Times New Roman"/>
                <w:sz w:val="26"/>
                <w:szCs w:val="26"/>
                <w:lang w:val="uk-UA"/>
              </w:rPr>
            </w:pPr>
            <w:r w:rsidRPr="008B220C">
              <w:rPr>
                <w:rFonts w:cs="Times New Roman"/>
                <w:sz w:val="26"/>
                <w:szCs w:val="26"/>
                <w:lang w:val="uk-UA"/>
              </w:rPr>
              <w:t>Виконання Програми</w:t>
            </w:r>
          </w:p>
        </w:tc>
        <w:tc>
          <w:tcPr>
            <w:tcW w:w="2349" w:type="dxa"/>
            <w:vMerge w:val="restart"/>
            <w:vAlign w:val="center"/>
          </w:tcPr>
          <w:p w:rsidR="00875833" w:rsidRPr="008B220C" w:rsidRDefault="00875833" w:rsidP="00E5018E">
            <w:pPr>
              <w:spacing w:line="216" w:lineRule="auto"/>
              <w:jc w:val="center"/>
              <w:rPr>
                <w:rFonts w:cs="Times New Roman"/>
                <w:sz w:val="26"/>
                <w:szCs w:val="26"/>
                <w:lang w:val="uk-UA"/>
              </w:rPr>
            </w:pPr>
            <w:r w:rsidRPr="008B220C">
              <w:rPr>
                <w:rFonts w:cs="Times New Roman"/>
                <w:sz w:val="26"/>
                <w:szCs w:val="26"/>
                <w:lang w:val="uk-UA"/>
              </w:rPr>
              <w:t>Усього витрат на виконання Програми</w:t>
            </w:r>
          </w:p>
        </w:tc>
      </w:tr>
      <w:tr w:rsidR="00183A25" w:rsidRPr="008B220C" w:rsidTr="006006B7">
        <w:tc>
          <w:tcPr>
            <w:tcW w:w="3369" w:type="dxa"/>
            <w:vMerge/>
            <w:vAlign w:val="center"/>
          </w:tcPr>
          <w:p w:rsidR="002F496E" w:rsidRPr="008B220C" w:rsidRDefault="002F496E" w:rsidP="00E5018E">
            <w:pPr>
              <w:spacing w:line="216" w:lineRule="auto"/>
              <w:jc w:val="center"/>
              <w:rPr>
                <w:rFonts w:cs="Times New Roman"/>
                <w:sz w:val="26"/>
                <w:szCs w:val="26"/>
                <w:lang w:val="uk-UA"/>
              </w:rPr>
            </w:pPr>
          </w:p>
        </w:tc>
        <w:tc>
          <w:tcPr>
            <w:tcW w:w="1255" w:type="dxa"/>
            <w:vAlign w:val="center"/>
          </w:tcPr>
          <w:p w:rsidR="002F496E" w:rsidRPr="008B220C" w:rsidRDefault="002F496E" w:rsidP="00E5018E">
            <w:pPr>
              <w:spacing w:line="216" w:lineRule="auto"/>
              <w:jc w:val="center"/>
              <w:rPr>
                <w:rFonts w:cs="Times New Roman"/>
                <w:sz w:val="26"/>
                <w:szCs w:val="26"/>
                <w:lang w:val="uk-UA"/>
              </w:rPr>
            </w:pPr>
            <w:r w:rsidRPr="008B220C">
              <w:rPr>
                <w:rFonts w:cs="Times New Roman"/>
                <w:sz w:val="26"/>
                <w:szCs w:val="26"/>
                <w:lang w:val="uk-UA"/>
              </w:rPr>
              <w:t>2013 рік</w:t>
            </w:r>
          </w:p>
        </w:tc>
        <w:tc>
          <w:tcPr>
            <w:tcW w:w="1255" w:type="dxa"/>
            <w:vAlign w:val="center"/>
          </w:tcPr>
          <w:p w:rsidR="002F496E" w:rsidRPr="008B220C" w:rsidRDefault="002F496E" w:rsidP="00E5018E">
            <w:pPr>
              <w:spacing w:line="216" w:lineRule="auto"/>
              <w:jc w:val="center"/>
              <w:rPr>
                <w:rFonts w:cs="Times New Roman"/>
                <w:sz w:val="26"/>
                <w:szCs w:val="26"/>
                <w:lang w:val="uk-UA"/>
              </w:rPr>
            </w:pPr>
            <w:r w:rsidRPr="008B220C">
              <w:rPr>
                <w:rFonts w:cs="Times New Roman"/>
                <w:sz w:val="26"/>
                <w:szCs w:val="26"/>
                <w:lang w:val="uk-UA"/>
              </w:rPr>
              <w:t>2014 рік</w:t>
            </w:r>
          </w:p>
        </w:tc>
        <w:tc>
          <w:tcPr>
            <w:tcW w:w="1256" w:type="dxa"/>
            <w:vAlign w:val="center"/>
          </w:tcPr>
          <w:p w:rsidR="002F496E" w:rsidRPr="008B220C" w:rsidRDefault="002F496E" w:rsidP="00E5018E">
            <w:pPr>
              <w:spacing w:line="216" w:lineRule="auto"/>
              <w:jc w:val="center"/>
              <w:rPr>
                <w:rFonts w:cs="Times New Roman"/>
                <w:sz w:val="26"/>
                <w:szCs w:val="26"/>
                <w:lang w:val="uk-UA"/>
              </w:rPr>
            </w:pPr>
            <w:r w:rsidRPr="008B220C">
              <w:rPr>
                <w:rFonts w:cs="Times New Roman"/>
                <w:sz w:val="26"/>
                <w:szCs w:val="26"/>
                <w:lang w:val="uk-UA"/>
              </w:rPr>
              <w:t>2015 рік</w:t>
            </w:r>
          </w:p>
        </w:tc>
        <w:tc>
          <w:tcPr>
            <w:tcW w:w="1256" w:type="dxa"/>
            <w:vAlign w:val="center"/>
          </w:tcPr>
          <w:p w:rsidR="002F496E" w:rsidRPr="008B220C" w:rsidRDefault="002F496E" w:rsidP="00E5018E">
            <w:pPr>
              <w:spacing w:line="216" w:lineRule="auto"/>
              <w:jc w:val="center"/>
              <w:rPr>
                <w:rFonts w:cs="Times New Roman"/>
                <w:sz w:val="26"/>
                <w:szCs w:val="26"/>
                <w:lang w:val="uk-UA"/>
              </w:rPr>
            </w:pPr>
            <w:r w:rsidRPr="008B220C">
              <w:rPr>
                <w:rFonts w:cs="Times New Roman"/>
                <w:sz w:val="26"/>
                <w:szCs w:val="26"/>
                <w:lang w:val="uk-UA"/>
              </w:rPr>
              <w:t>2016 рік</w:t>
            </w:r>
          </w:p>
        </w:tc>
        <w:tc>
          <w:tcPr>
            <w:tcW w:w="2349" w:type="dxa"/>
            <w:vMerge/>
            <w:vAlign w:val="center"/>
          </w:tcPr>
          <w:p w:rsidR="002F496E" w:rsidRPr="008B220C" w:rsidRDefault="002F496E" w:rsidP="00E5018E">
            <w:pPr>
              <w:spacing w:line="216" w:lineRule="auto"/>
              <w:jc w:val="center"/>
              <w:rPr>
                <w:rFonts w:cs="Times New Roman"/>
                <w:sz w:val="26"/>
                <w:szCs w:val="26"/>
                <w:lang w:val="uk-UA"/>
              </w:rPr>
            </w:pPr>
          </w:p>
        </w:tc>
      </w:tr>
      <w:tr w:rsidR="00183A25" w:rsidRPr="008B220C" w:rsidTr="006006B7">
        <w:tc>
          <w:tcPr>
            <w:tcW w:w="3369" w:type="dxa"/>
            <w:vAlign w:val="center"/>
          </w:tcPr>
          <w:p w:rsidR="002F496E" w:rsidRPr="008B220C" w:rsidRDefault="002F496E" w:rsidP="00E5018E">
            <w:pPr>
              <w:spacing w:line="216" w:lineRule="auto"/>
              <w:rPr>
                <w:rFonts w:cs="Times New Roman"/>
                <w:sz w:val="26"/>
                <w:szCs w:val="26"/>
                <w:lang w:val="uk-UA"/>
              </w:rPr>
            </w:pPr>
            <w:r w:rsidRPr="008B220C">
              <w:rPr>
                <w:rFonts w:cs="Times New Roman"/>
                <w:sz w:val="26"/>
                <w:szCs w:val="26"/>
                <w:lang w:val="uk-UA"/>
              </w:rPr>
              <w:t xml:space="preserve">Обсяг ресурсі усього, у тому </w:t>
            </w:r>
            <w:proofErr w:type="spellStart"/>
            <w:r w:rsidRPr="008B220C">
              <w:rPr>
                <w:rFonts w:cs="Times New Roman"/>
                <w:sz w:val="26"/>
                <w:szCs w:val="26"/>
                <w:lang w:val="uk-UA"/>
              </w:rPr>
              <w:t>чис</w:t>
            </w:r>
            <w:proofErr w:type="spellEnd"/>
            <w:r w:rsidR="00731E05" w:rsidRPr="008B220C">
              <w:rPr>
                <w:rFonts w:cs="Times New Roman"/>
                <w:sz w:val="26"/>
                <w:szCs w:val="26"/>
                <w:lang w:val="uk-UA"/>
              </w:rPr>
              <w:t xml:space="preserve"> </w:t>
            </w:r>
            <w:r w:rsidRPr="008B220C">
              <w:rPr>
                <w:rFonts w:cs="Times New Roman"/>
                <w:sz w:val="26"/>
                <w:szCs w:val="26"/>
                <w:lang w:val="uk-UA"/>
              </w:rPr>
              <w:t>лі:</w:t>
            </w:r>
          </w:p>
        </w:tc>
        <w:tc>
          <w:tcPr>
            <w:tcW w:w="1255" w:type="dxa"/>
            <w:vAlign w:val="center"/>
          </w:tcPr>
          <w:p w:rsidR="002F496E" w:rsidRPr="008B220C" w:rsidRDefault="00183A25" w:rsidP="00E5018E">
            <w:pPr>
              <w:spacing w:line="216" w:lineRule="auto"/>
              <w:jc w:val="center"/>
              <w:rPr>
                <w:rFonts w:cs="Times New Roman"/>
                <w:sz w:val="26"/>
                <w:szCs w:val="26"/>
                <w:lang w:val="uk-UA"/>
              </w:rPr>
            </w:pPr>
            <w:r w:rsidRPr="008B220C">
              <w:rPr>
                <w:rFonts w:cs="Times New Roman"/>
                <w:bCs/>
                <w:sz w:val="26"/>
                <w:szCs w:val="26"/>
                <w:lang w:val="uk-UA"/>
              </w:rPr>
              <w:t>1</w:t>
            </w:r>
            <w:r w:rsidR="005829BD" w:rsidRPr="008B220C">
              <w:rPr>
                <w:rFonts w:cs="Times New Roman"/>
                <w:bCs/>
                <w:sz w:val="26"/>
                <w:szCs w:val="26"/>
                <w:lang w:val="uk-UA"/>
              </w:rPr>
              <w:t>7002,1</w:t>
            </w:r>
          </w:p>
        </w:tc>
        <w:tc>
          <w:tcPr>
            <w:tcW w:w="1255" w:type="dxa"/>
            <w:vAlign w:val="center"/>
          </w:tcPr>
          <w:p w:rsidR="002F496E" w:rsidRPr="008B220C" w:rsidRDefault="00183A25" w:rsidP="00E5018E">
            <w:pPr>
              <w:spacing w:line="216" w:lineRule="auto"/>
              <w:jc w:val="center"/>
              <w:rPr>
                <w:rFonts w:cs="Times New Roman"/>
                <w:sz w:val="26"/>
                <w:szCs w:val="26"/>
                <w:lang w:val="uk-UA"/>
              </w:rPr>
            </w:pPr>
            <w:r w:rsidRPr="008B220C">
              <w:rPr>
                <w:rFonts w:cs="Times New Roman"/>
                <w:sz w:val="26"/>
                <w:szCs w:val="26"/>
                <w:lang w:val="uk-UA"/>
              </w:rPr>
              <w:t>21483,3</w:t>
            </w:r>
          </w:p>
        </w:tc>
        <w:tc>
          <w:tcPr>
            <w:tcW w:w="1256" w:type="dxa"/>
            <w:vAlign w:val="center"/>
          </w:tcPr>
          <w:p w:rsidR="002F496E"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2</w:t>
            </w:r>
            <w:r w:rsidR="00183A25" w:rsidRPr="008B220C">
              <w:rPr>
                <w:rFonts w:cs="Times New Roman"/>
                <w:sz w:val="26"/>
                <w:szCs w:val="26"/>
                <w:lang w:val="uk-UA"/>
              </w:rPr>
              <w:t>2654,7</w:t>
            </w:r>
          </w:p>
        </w:tc>
        <w:tc>
          <w:tcPr>
            <w:tcW w:w="1256" w:type="dxa"/>
            <w:vAlign w:val="center"/>
          </w:tcPr>
          <w:p w:rsidR="002F496E"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24938,1</w:t>
            </w:r>
          </w:p>
        </w:tc>
        <w:tc>
          <w:tcPr>
            <w:tcW w:w="2349" w:type="dxa"/>
            <w:vAlign w:val="center"/>
          </w:tcPr>
          <w:p w:rsidR="002F496E" w:rsidRPr="008B220C" w:rsidRDefault="00183A25" w:rsidP="00E5018E">
            <w:pPr>
              <w:spacing w:line="216" w:lineRule="auto"/>
              <w:jc w:val="center"/>
              <w:rPr>
                <w:rFonts w:cs="Times New Roman"/>
                <w:sz w:val="26"/>
                <w:szCs w:val="26"/>
                <w:lang w:val="uk-UA"/>
              </w:rPr>
            </w:pPr>
            <w:r w:rsidRPr="008B220C">
              <w:rPr>
                <w:rFonts w:cs="Times New Roman"/>
                <w:sz w:val="26"/>
                <w:szCs w:val="26"/>
                <w:lang w:val="uk-UA"/>
              </w:rPr>
              <w:t>86078,1</w:t>
            </w:r>
          </w:p>
        </w:tc>
      </w:tr>
      <w:tr w:rsidR="00183A25" w:rsidRPr="008B220C" w:rsidTr="006006B7">
        <w:tc>
          <w:tcPr>
            <w:tcW w:w="3369" w:type="dxa"/>
            <w:vAlign w:val="center"/>
          </w:tcPr>
          <w:p w:rsidR="00002513" w:rsidRPr="008B220C" w:rsidRDefault="002F496E" w:rsidP="00E5018E">
            <w:pPr>
              <w:spacing w:line="216" w:lineRule="auto"/>
              <w:rPr>
                <w:rFonts w:eastAsia="Calibri" w:cs="Times New Roman"/>
                <w:sz w:val="26"/>
                <w:szCs w:val="26"/>
                <w:lang w:val="uk-UA"/>
              </w:rPr>
            </w:pPr>
            <w:r w:rsidRPr="008B220C">
              <w:rPr>
                <w:rFonts w:eastAsia="Calibri" w:cs="Times New Roman"/>
                <w:sz w:val="26"/>
                <w:szCs w:val="26"/>
                <w:lang w:val="uk-UA"/>
              </w:rPr>
              <w:t>Державний бюджет</w:t>
            </w:r>
          </w:p>
          <w:p w:rsidR="002F496E" w:rsidRPr="008B220C" w:rsidRDefault="00002513" w:rsidP="00E5018E">
            <w:pPr>
              <w:spacing w:line="216" w:lineRule="auto"/>
              <w:rPr>
                <w:rFonts w:cs="Times New Roman"/>
                <w:sz w:val="26"/>
                <w:szCs w:val="26"/>
                <w:lang w:val="uk-UA"/>
              </w:rPr>
            </w:pPr>
            <w:r w:rsidRPr="008B220C">
              <w:rPr>
                <w:rFonts w:eastAsia="Calibri" w:cs="Times New Roman"/>
                <w:bCs/>
                <w:sz w:val="26"/>
                <w:szCs w:val="26"/>
                <w:lang w:val="uk-UA"/>
              </w:rPr>
              <w:t>(тис. грн.)</w:t>
            </w:r>
          </w:p>
        </w:tc>
        <w:tc>
          <w:tcPr>
            <w:tcW w:w="1255" w:type="dxa"/>
            <w:vAlign w:val="center"/>
          </w:tcPr>
          <w:p w:rsidR="002F496E" w:rsidRPr="008B220C" w:rsidRDefault="00875833" w:rsidP="00E5018E">
            <w:pPr>
              <w:spacing w:line="216" w:lineRule="auto"/>
              <w:jc w:val="center"/>
              <w:rPr>
                <w:rFonts w:cs="Times New Roman"/>
                <w:sz w:val="26"/>
                <w:szCs w:val="26"/>
                <w:lang w:val="uk-UA"/>
              </w:rPr>
            </w:pPr>
            <w:r w:rsidRPr="008B220C">
              <w:rPr>
                <w:rFonts w:cs="Times New Roman"/>
                <w:bCs/>
                <w:sz w:val="26"/>
                <w:szCs w:val="26"/>
                <w:lang w:val="uk-UA"/>
              </w:rPr>
              <w:t>9340,0</w:t>
            </w:r>
          </w:p>
        </w:tc>
        <w:tc>
          <w:tcPr>
            <w:tcW w:w="1255" w:type="dxa"/>
            <w:vAlign w:val="center"/>
          </w:tcPr>
          <w:p w:rsidR="002F496E" w:rsidRPr="008B220C" w:rsidRDefault="00875833" w:rsidP="00E5018E">
            <w:pPr>
              <w:spacing w:line="216" w:lineRule="auto"/>
              <w:jc w:val="center"/>
              <w:rPr>
                <w:rFonts w:cs="Times New Roman"/>
                <w:sz w:val="26"/>
                <w:szCs w:val="26"/>
                <w:lang w:val="uk-UA"/>
              </w:rPr>
            </w:pPr>
            <w:r w:rsidRPr="008B220C">
              <w:rPr>
                <w:rFonts w:cs="Times New Roman"/>
                <w:sz w:val="26"/>
                <w:szCs w:val="26"/>
                <w:lang w:val="uk-UA"/>
              </w:rPr>
              <w:t>11258,3</w:t>
            </w:r>
          </w:p>
        </w:tc>
        <w:tc>
          <w:tcPr>
            <w:tcW w:w="1256" w:type="dxa"/>
            <w:vAlign w:val="center"/>
          </w:tcPr>
          <w:p w:rsidR="002F496E" w:rsidRPr="008B220C" w:rsidRDefault="00875833" w:rsidP="00E5018E">
            <w:pPr>
              <w:spacing w:line="216" w:lineRule="auto"/>
              <w:jc w:val="center"/>
              <w:rPr>
                <w:rFonts w:cs="Times New Roman"/>
                <w:sz w:val="26"/>
                <w:szCs w:val="26"/>
                <w:lang w:val="uk-UA"/>
              </w:rPr>
            </w:pPr>
            <w:r w:rsidRPr="008B220C">
              <w:rPr>
                <w:rFonts w:cs="Times New Roman"/>
                <w:sz w:val="26"/>
                <w:szCs w:val="26"/>
                <w:lang w:val="uk-UA"/>
              </w:rPr>
              <w:t>11198,9</w:t>
            </w:r>
          </w:p>
        </w:tc>
        <w:tc>
          <w:tcPr>
            <w:tcW w:w="1256" w:type="dxa"/>
            <w:vAlign w:val="center"/>
          </w:tcPr>
          <w:p w:rsidR="002F496E" w:rsidRPr="008B220C" w:rsidRDefault="00875833" w:rsidP="00E5018E">
            <w:pPr>
              <w:spacing w:line="216" w:lineRule="auto"/>
              <w:jc w:val="center"/>
              <w:rPr>
                <w:rFonts w:cs="Times New Roman"/>
                <w:sz w:val="26"/>
                <w:szCs w:val="26"/>
                <w:lang w:val="uk-UA"/>
              </w:rPr>
            </w:pPr>
            <w:r w:rsidRPr="008B220C">
              <w:rPr>
                <w:rFonts w:cs="Times New Roman"/>
                <w:sz w:val="26"/>
                <w:szCs w:val="26"/>
                <w:lang w:val="uk-UA"/>
              </w:rPr>
              <w:t>12262,8</w:t>
            </w:r>
          </w:p>
        </w:tc>
        <w:tc>
          <w:tcPr>
            <w:tcW w:w="2349" w:type="dxa"/>
            <w:vAlign w:val="center"/>
          </w:tcPr>
          <w:p w:rsidR="002F496E" w:rsidRPr="008B220C" w:rsidRDefault="00875833" w:rsidP="00E5018E">
            <w:pPr>
              <w:spacing w:line="216" w:lineRule="auto"/>
              <w:jc w:val="center"/>
              <w:rPr>
                <w:rFonts w:cs="Times New Roman"/>
                <w:sz w:val="26"/>
                <w:szCs w:val="26"/>
                <w:lang w:val="uk-UA"/>
              </w:rPr>
            </w:pPr>
            <w:r w:rsidRPr="008B220C">
              <w:rPr>
                <w:rFonts w:cs="Times New Roman"/>
                <w:sz w:val="26"/>
                <w:szCs w:val="26"/>
                <w:lang w:val="uk-UA"/>
              </w:rPr>
              <w:t>44060,0</w:t>
            </w:r>
          </w:p>
        </w:tc>
      </w:tr>
      <w:tr w:rsidR="00183A25" w:rsidRPr="008B220C" w:rsidTr="006006B7">
        <w:tc>
          <w:tcPr>
            <w:tcW w:w="3369" w:type="dxa"/>
            <w:vAlign w:val="center"/>
          </w:tcPr>
          <w:p w:rsidR="00002513" w:rsidRPr="008B220C" w:rsidRDefault="002F496E" w:rsidP="00E5018E">
            <w:pPr>
              <w:spacing w:line="216" w:lineRule="auto"/>
              <w:rPr>
                <w:rFonts w:eastAsia="Calibri" w:cs="Times New Roman"/>
                <w:sz w:val="26"/>
                <w:szCs w:val="26"/>
                <w:lang w:val="uk-UA"/>
              </w:rPr>
            </w:pPr>
            <w:r w:rsidRPr="008B220C">
              <w:rPr>
                <w:rFonts w:eastAsia="Calibri" w:cs="Times New Roman"/>
                <w:sz w:val="26"/>
                <w:szCs w:val="26"/>
                <w:lang w:val="uk-UA"/>
              </w:rPr>
              <w:t>Обласний бюджет</w:t>
            </w:r>
          </w:p>
          <w:p w:rsidR="002F496E" w:rsidRPr="008B220C" w:rsidRDefault="00002513" w:rsidP="00E5018E">
            <w:pPr>
              <w:spacing w:line="216" w:lineRule="auto"/>
              <w:rPr>
                <w:rFonts w:cs="Times New Roman"/>
                <w:sz w:val="26"/>
                <w:szCs w:val="26"/>
                <w:lang w:val="uk-UA"/>
              </w:rPr>
            </w:pPr>
            <w:r w:rsidRPr="008B220C">
              <w:rPr>
                <w:rFonts w:eastAsia="Calibri" w:cs="Times New Roman"/>
                <w:bCs/>
                <w:sz w:val="26"/>
                <w:szCs w:val="26"/>
                <w:lang w:val="uk-UA"/>
              </w:rPr>
              <w:t>(тис. грн.)</w:t>
            </w:r>
          </w:p>
        </w:tc>
        <w:tc>
          <w:tcPr>
            <w:tcW w:w="1255" w:type="dxa"/>
            <w:vAlign w:val="center"/>
          </w:tcPr>
          <w:p w:rsidR="002F496E" w:rsidRPr="008B220C" w:rsidRDefault="00875833" w:rsidP="00E5018E">
            <w:pPr>
              <w:spacing w:line="216" w:lineRule="auto"/>
              <w:jc w:val="center"/>
              <w:rPr>
                <w:rFonts w:cs="Times New Roman"/>
                <w:sz w:val="26"/>
                <w:szCs w:val="26"/>
                <w:lang w:val="uk-UA"/>
              </w:rPr>
            </w:pPr>
            <w:r w:rsidRPr="008B220C">
              <w:rPr>
                <w:rFonts w:eastAsia="Calibri" w:cs="Times New Roman"/>
                <w:bCs/>
                <w:sz w:val="26"/>
                <w:szCs w:val="26"/>
                <w:lang w:val="uk-UA"/>
              </w:rPr>
              <w:t>41</w:t>
            </w:r>
            <w:r w:rsidR="005829BD" w:rsidRPr="008B220C">
              <w:rPr>
                <w:rFonts w:eastAsia="Calibri" w:cs="Times New Roman"/>
                <w:bCs/>
                <w:sz w:val="26"/>
                <w:szCs w:val="26"/>
                <w:lang w:val="uk-UA"/>
              </w:rPr>
              <w:t>8</w:t>
            </w:r>
            <w:r w:rsidRPr="008B220C">
              <w:rPr>
                <w:rFonts w:eastAsia="Calibri" w:cs="Times New Roman"/>
                <w:bCs/>
                <w:sz w:val="26"/>
                <w:szCs w:val="26"/>
                <w:lang w:val="uk-UA"/>
              </w:rPr>
              <w:t>4,8</w:t>
            </w:r>
            <w:r w:rsidR="002F496E" w:rsidRPr="008B220C">
              <w:rPr>
                <w:rFonts w:eastAsia="Calibri" w:cs="Times New Roman"/>
                <w:bCs/>
                <w:sz w:val="26"/>
                <w:szCs w:val="26"/>
                <w:lang w:val="uk-UA"/>
              </w:rPr>
              <w:t xml:space="preserve"> </w:t>
            </w:r>
          </w:p>
        </w:tc>
        <w:tc>
          <w:tcPr>
            <w:tcW w:w="1255" w:type="dxa"/>
            <w:vAlign w:val="center"/>
          </w:tcPr>
          <w:p w:rsidR="002F496E" w:rsidRPr="008B220C" w:rsidRDefault="00183A25" w:rsidP="00E5018E">
            <w:pPr>
              <w:spacing w:line="216" w:lineRule="auto"/>
              <w:jc w:val="center"/>
              <w:rPr>
                <w:rFonts w:cs="Times New Roman"/>
                <w:sz w:val="26"/>
                <w:szCs w:val="26"/>
                <w:lang w:val="uk-UA"/>
              </w:rPr>
            </w:pPr>
            <w:r w:rsidRPr="008B220C">
              <w:rPr>
                <w:rFonts w:cs="Times New Roman"/>
                <w:sz w:val="26"/>
                <w:szCs w:val="26"/>
                <w:lang w:val="uk-UA"/>
              </w:rPr>
              <w:t>6480,6</w:t>
            </w:r>
          </w:p>
        </w:tc>
        <w:tc>
          <w:tcPr>
            <w:tcW w:w="1256" w:type="dxa"/>
            <w:vAlign w:val="center"/>
          </w:tcPr>
          <w:p w:rsidR="002F496E" w:rsidRPr="008B220C" w:rsidRDefault="00183A25" w:rsidP="00E5018E">
            <w:pPr>
              <w:spacing w:line="216" w:lineRule="auto"/>
              <w:jc w:val="center"/>
              <w:rPr>
                <w:rFonts w:cs="Times New Roman"/>
                <w:sz w:val="26"/>
                <w:szCs w:val="26"/>
                <w:lang w:val="uk-UA"/>
              </w:rPr>
            </w:pPr>
            <w:r w:rsidRPr="008B220C">
              <w:rPr>
                <w:rFonts w:cs="Times New Roman"/>
                <w:sz w:val="26"/>
                <w:szCs w:val="26"/>
                <w:lang w:val="uk-UA"/>
              </w:rPr>
              <w:t>7355,7</w:t>
            </w:r>
          </w:p>
        </w:tc>
        <w:tc>
          <w:tcPr>
            <w:tcW w:w="1256" w:type="dxa"/>
            <w:vAlign w:val="center"/>
          </w:tcPr>
          <w:p w:rsidR="002F496E"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8185,7</w:t>
            </w:r>
          </w:p>
        </w:tc>
        <w:tc>
          <w:tcPr>
            <w:tcW w:w="2349" w:type="dxa"/>
            <w:vAlign w:val="center"/>
          </w:tcPr>
          <w:p w:rsidR="002F496E" w:rsidRPr="008B220C" w:rsidRDefault="00183A25" w:rsidP="00E5018E">
            <w:pPr>
              <w:spacing w:line="216" w:lineRule="auto"/>
              <w:jc w:val="center"/>
              <w:rPr>
                <w:rFonts w:cs="Times New Roman"/>
                <w:sz w:val="26"/>
                <w:szCs w:val="26"/>
                <w:lang w:val="uk-UA"/>
              </w:rPr>
            </w:pPr>
            <w:r w:rsidRPr="008B220C">
              <w:rPr>
                <w:rFonts w:cs="Times New Roman"/>
                <w:sz w:val="26"/>
                <w:szCs w:val="26"/>
                <w:lang w:val="uk-UA"/>
              </w:rPr>
              <w:t>26206,8</w:t>
            </w:r>
          </w:p>
        </w:tc>
      </w:tr>
      <w:tr w:rsidR="00183A25" w:rsidRPr="008B220C" w:rsidTr="006006B7">
        <w:tc>
          <w:tcPr>
            <w:tcW w:w="3369" w:type="dxa"/>
            <w:vAlign w:val="center"/>
          </w:tcPr>
          <w:p w:rsidR="002F496E" w:rsidRPr="008B220C" w:rsidRDefault="002F496E" w:rsidP="00E5018E">
            <w:pPr>
              <w:spacing w:line="216" w:lineRule="auto"/>
              <w:rPr>
                <w:rFonts w:eastAsia="Calibri" w:cs="Times New Roman"/>
                <w:sz w:val="26"/>
                <w:szCs w:val="26"/>
                <w:lang w:val="uk-UA"/>
              </w:rPr>
            </w:pPr>
            <w:r w:rsidRPr="008B220C">
              <w:rPr>
                <w:rFonts w:eastAsia="Calibri" w:cs="Times New Roman"/>
                <w:sz w:val="26"/>
                <w:szCs w:val="26"/>
                <w:lang w:val="uk-UA"/>
              </w:rPr>
              <w:t>Районний, міський бюджети</w:t>
            </w:r>
            <w:r w:rsidR="00002513" w:rsidRPr="008B220C">
              <w:rPr>
                <w:rFonts w:eastAsia="Calibri" w:cs="Times New Roman"/>
                <w:bCs/>
                <w:sz w:val="26"/>
                <w:szCs w:val="26"/>
                <w:lang w:val="uk-UA"/>
              </w:rPr>
              <w:t xml:space="preserve"> (тис. грн.)</w:t>
            </w:r>
          </w:p>
        </w:tc>
        <w:tc>
          <w:tcPr>
            <w:tcW w:w="1255" w:type="dxa"/>
            <w:vAlign w:val="center"/>
          </w:tcPr>
          <w:p w:rsidR="002F496E"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3393,3</w:t>
            </w:r>
            <w:r w:rsidR="002F496E" w:rsidRPr="008B220C">
              <w:rPr>
                <w:rFonts w:eastAsia="Calibri" w:cs="Times New Roman"/>
                <w:bCs/>
                <w:sz w:val="26"/>
                <w:szCs w:val="26"/>
                <w:lang w:val="uk-UA"/>
              </w:rPr>
              <w:t xml:space="preserve"> </w:t>
            </w:r>
          </w:p>
        </w:tc>
        <w:tc>
          <w:tcPr>
            <w:tcW w:w="1255" w:type="dxa"/>
            <w:vAlign w:val="center"/>
          </w:tcPr>
          <w:p w:rsidR="002F496E"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3718,1</w:t>
            </w:r>
          </w:p>
        </w:tc>
        <w:tc>
          <w:tcPr>
            <w:tcW w:w="1256" w:type="dxa"/>
            <w:vAlign w:val="center"/>
          </w:tcPr>
          <w:p w:rsidR="002F496E"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4071,3</w:t>
            </w:r>
          </w:p>
        </w:tc>
        <w:tc>
          <w:tcPr>
            <w:tcW w:w="1256" w:type="dxa"/>
            <w:vAlign w:val="center"/>
          </w:tcPr>
          <w:p w:rsidR="002F496E"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4458,1</w:t>
            </w:r>
          </w:p>
        </w:tc>
        <w:tc>
          <w:tcPr>
            <w:tcW w:w="2349" w:type="dxa"/>
            <w:vAlign w:val="center"/>
          </w:tcPr>
          <w:p w:rsidR="002F496E"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15640,8</w:t>
            </w:r>
          </w:p>
        </w:tc>
      </w:tr>
      <w:tr w:rsidR="00183A25" w:rsidRPr="008B220C" w:rsidTr="006006B7">
        <w:tc>
          <w:tcPr>
            <w:tcW w:w="3369" w:type="dxa"/>
            <w:vAlign w:val="center"/>
          </w:tcPr>
          <w:p w:rsidR="00445DA2" w:rsidRPr="008B220C" w:rsidRDefault="00445DA2" w:rsidP="00E5018E">
            <w:pPr>
              <w:spacing w:line="216" w:lineRule="auto"/>
              <w:rPr>
                <w:rFonts w:eastAsia="Calibri" w:cs="Times New Roman"/>
                <w:sz w:val="26"/>
                <w:szCs w:val="26"/>
                <w:lang w:val="uk-UA"/>
              </w:rPr>
            </w:pPr>
            <w:r w:rsidRPr="008B220C">
              <w:rPr>
                <w:rFonts w:eastAsia="Calibri" w:cs="Times New Roman"/>
                <w:sz w:val="26"/>
                <w:szCs w:val="26"/>
                <w:lang w:val="uk-UA"/>
              </w:rPr>
              <w:t xml:space="preserve">Кошти Глобального фонду </w:t>
            </w:r>
            <w:r w:rsidRPr="008B220C">
              <w:rPr>
                <w:rFonts w:eastAsia="Calibri" w:cs="Times New Roman"/>
                <w:bCs/>
                <w:sz w:val="26"/>
                <w:szCs w:val="26"/>
                <w:lang w:val="uk-UA"/>
              </w:rPr>
              <w:t>(тис. грн.)</w:t>
            </w:r>
          </w:p>
        </w:tc>
        <w:tc>
          <w:tcPr>
            <w:tcW w:w="7371" w:type="dxa"/>
            <w:gridSpan w:val="5"/>
          </w:tcPr>
          <w:p w:rsidR="00445DA2" w:rsidRPr="008B220C" w:rsidRDefault="00445DA2" w:rsidP="00E5018E">
            <w:pPr>
              <w:spacing w:line="216" w:lineRule="auto"/>
              <w:jc w:val="center"/>
              <w:rPr>
                <w:rFonts w:eastAsia="Times New Roman" w:cs="Times New Roman"/>
                <w:sz w:val="26"/>
                <w:szCs w:val="26"/>
                <w:lang w:val="uk-UA" w:eastAsia="ru-RU"/>
              </w:rPr>
            </w:pPr>
            <w:r w:rsidRPr="008B220C">
              <w:rPr>
                <w:rFonts w:eastAsia="Times New Roman" w:cs="Times New Roman"/>
                <w:sz w:val="26"/>
                <w:szCs w:val="26"/>
                <w:lang w:val="uk-UA" w:eastAsia="ru-RU"/>
              </w:rPr>
              <w:t>Обсяг фінансування визначається окремо в межах видатків</w:t>
            </w:r>
          </w:p>
        </w:tc>
      </w:tr>
      <w:tr w:rsidR="00183A25" w:rsidRPr="008B220C" w:rsidTr="006006B7">
        <w:tc>
          <w:tcPr>
            <w:tcW w:w="3369" w:type="dxa"/>
            <w:vAlign w:val="center"/>
          </w:tcPr>
          <w:p w:rsidR="005829BD" w:rsidRPr="008B220C" w:rsidRDefault="005829BD" w:rsidP="00E5018E">
            <w:pPr>
              <w:spacing w:line="216" w:lineRule="auto"/>
              <w:rPr>
                <w:rFonts w:eastAsia="Calibri" w:cs="Times New Roman"/>
                <w:sz w:val="26"/>
                <w:szCs w:val="26"/>
                <w:lang w:val="uk-UA"/>
              </w:rPr>
            </w:pPr>
            <w:r w:rsidRPr="008B220C">
              <w:rPr>
                <w:rFonts w:eastAsia="Calibri" w:cs="Times New Roman"/>
                <w:sz w:val="26"/>
                <w:szCs w:val="26"/>
                <w:lang w:val="uk-UA"/>
              </w:rPr>
              <w:t>Інші джерела фінансування</w:t>
            </w:r>
            <w:r w:rsidRPr="008B220C">
              <w:rPr>
                <w:rFonts w:eastAsia="Calibri" w:cs="Times New Roman"/>
                <w:bCs/>
                <w:sz w:val="26"/>
                <w:szCs w:val="26"/>
                <w:lang w:val="uk-UA"/>
              </w:rPr>
              <w:t xml:space="preserve"> (тис. грн.)</w:t>
            </w:r>
          </w:p>
        </w:tc>
        <w:tc>
          <w:tcPr>
            <w:tcW w:w="1255" w:type="dxa"/>
            <w:vAlign w:val="center"/>
          </w:tcPr>
          <w:p w:rsidR="005829BD"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84,0</w:t>
            </w:r>
          </w:p>
        </w:tc>
        <w:tc>
          <w:tcPr>
            <w:tcW w:w="1255" w:type="dxa"/>
            <w:vAlign w:val="center"/>
          </w:tcPr>
          <w:p w:rsidR="005829BD"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26,3</w:t>
            </w:r>
          </w:p>
        </w:tc>
        <w:tc>
          <w:tcPr>
            <w:tcW w:w="1256" w:type="dxa"/>
            <w:vAlign w:val="center"/>
          </w:tcPr>
          <w:p w:rsidR="005829BD"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28,8</w:t>
            </w:r>
          </w:p>
        </w:tc>
        <w:tc>
          <w:tcPr>
            <w:tcW w:w="1256" w:type="dxa"/>
            <w:vAlign w:val="center"/>
          </w:tcPr>
          <w:p w:rsidR="005829BD"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31,5</w:t>
            </w:r>
          </w:p>
        </w:tc>
        <w:tc>
          <w:tcPr>
            <w:tcW w:w="2349" w:type="dxa"/>
            <w:vAlign w:val="center"/>
          </w:tcPr>
          <w:p w:rsidR="005829BD" w:rsidRPr="008B220C" w:rsidRDefault="005829BD" w:rsidP="00E5018E">
            <w:pPr>
              <w:spacing w:line="216" w:lineRule="auto"/>
              <w:jc w:val="center"/>
              <w:rPr>
                <w:rFonts w:cs="Times New Roman"/>
                <w:sz w:val="26"/>
                <w:szCs w:val="26"/>
                <w:lang w:val="uk-UA"/>
              </w:rPr>
            </w:pPr>
            <w:r w:rsidRPr="008B220C">
              <w:rPr>
                <w:rFonts w:cs="Times New Roman"/>
                <w:sz w:val="26"/>
                <w:szCs w:val="26"/>
                <w:lang w:val="uk-UA"/>
              </w:rPr>
              <w:t>170,6</w:t>
            </w:r>
          </w:p>
        </w:tc>
      </w:tr>
    </w:tbl>
    <w:p w:rsidR="007C5DEA" w:rsidRPr="008B220C" w:rsidRDefault="007C5DEA" w:rsidP="00E5018E">
      <w:pPr>
        <w:pStyle w:val="1"/>
        <w:spacing w:line="216" w:lineRule="auto"/>
        <w:ind w:firstLine="0"/>
        <w:rPr>
          <w:sz w:val="26"/>
          <w:szCs w:val="26"/>
        </w:rPr>
      </w:pPr>
    </w:p>
    <w:p w:rsidR="004E2027" w:rsidRPr="008B220C" w:rsidRDefault="00002513" w:rsidP="00E5018E">
      <w:pPr>
        <w:pStyle w:val="1"/>
        <w:spacing w:line="216" w:lineRule="auto"/>
        <w:ind w:firstLine="0"/>
        <w:rPr>
          <w:sz w:val="26"/>
          <w:szCs w:val="26"/>
        </w:rPr>
      </w:pPr>
      <w:r w:rsidRPr="008B220C">
        <w:rPr>
          <w:sz w:val="26"/>
          <w:szCs w:val="26"/>
        </w:rPr>
        <w:t>Визначення проблеми, на розв’язання якої спрямована Програма</w:t>
      </w:r>
    </w:p>
    <w:p w:rsidR="00C71B8D" w:rsidRPr="008B220C" w:rsidRDefault="00C71B8D" w:rsidP="00E5018E">
      <w:pPr>
        <w:spacing w:line="216" w:lineRule="auto"/>
        <w:ind w:firstLine="567"/>
        <w:jc w:val="both"/>
        <w:rPr>
          <w:rFonts w:eastAsia="Calibri" w:cs="Times New Roman"/>
          <w:sz w:val="26"/>
          <w:szCs w:val="26"/>
          <w:lang w:val="uk-UA"/>
        </w:rPr>
      </w:pPr>
    </w:p>
    <w:p w:rsidR="00C71B8D" w:rsidRPr="008B220C" w:rsidRDefault="00C71B8D" w:rsidP="00E5018E">
      <w:pPr>
        <w:spacing w:line="216" w:lineRule="auto"/>
        <w:ind w:firstLine="567"/>
        <w:jc w:val="both"/>
        <w:rPr>
          <w:rFonts w:eastAsia="Times New Roman" w:cs="Times New Roman"/>
          <w:sz w:val="26"/>
          <w:szCs w:val="26"/>
          <w:lang w:val="uk-UA" w:eastAsia="uk-UA"/>
        </w:rPr>
      </w:pPr>
      <w:r w:rsidRPr="008B220C">
        <w:rPr>
          <w:rFonts w:eastAsia="Calibri" w:cs="Times New Roman"/>
          <w:sz w:val="26"/>
          <w:szCs w:val="26"/>
          <w:lang w:val="uk-UA"/>
        </w:rPr>
        <w:t>Епідемічна ситуація з туберкульозу в Полтавській області потребує уваги, оскільки п</w:t>
      </w:r>
      <w:r w:rsidRPr="008B220C">
        <w:rPr>
          <w:rFonts w:eastAsia="Times New Roman" w:cs="Times New Roman"/>
          <w:sz w:val="26"/>
          <w:szCs w:val="26"/>
          <w:lang w:val="uk-UA" w:eastAsia="uk-UA"/>
        </w:rPr>
        <w:t>оширення туберкульозу становить загрозу, є однією з причин втрати працездатності, здоров’я, причиною інвалідності та смертності населення.</w:t>
      </w:r>
    </w:p>
    <w:p w:rsidR="00C71B8D" w:rsidRPr="008B220C" w:rsidRDefault="00C71B8D" w:rsidP="00E5018E">
      <w:pPr>
        <w:spacing w:line="216" w:lineRule="auto"/>
        <w:ind w:firstLine="567"/>
        <w:jc w:val="both"/>
        <w:rPr>
          <w:rFonts w:eastAsia="Calibri" w:cs="Times New Roman"/>
          <w:sz w:val="26"/>
          <w:szCs w:val="26"/>
          <w:lang w:val="uk-UA"/>
        </w:rPr>
      </w:pPr>
      <w:r w:rsidRPr="008B220C">
        <w:rPr>
          <w:rFonts w:eastAsia="Calibri" w:cs="Times New Roman"/>
          <w:sz w:val="26"/>
          <w:szCs w:val="26"/>
          <w:lang w:val="uk-UA"/>
        </w:rPr>
        <w:t>За період дії попередньої Програми на 2007-2011 роки показники по туберкульозу в Полтавській області зрушили в позитивному напрямку, захворюваність з 2007 року знизилась на 2% з 54,5 на 100 тис. населення до 55,2 у 2011 році та не перевищувала загальноукраїнську в жодному році дії Програми. Залишалась на найнижчому рівні по Україні захворюваність серед дитячого населення (0-17 років) та відмічено її зниження майже в 2 рази – з 7,5 на 100 тис. населення у 2007 році до 4,1 у 2011 році (Україна, 14,3 та 11,7 відповідно).</w:t>
      </w:r>
      <w:r w:rsidRPr="008B220C">
        <w:rPr>
          <w:rFonts w:eastAsia="Calibri" w:cs="Times New Roman"/>
          <w:color w:val="000000"/>
          <w:sz w:val="26"/>
          <w:szCs w:val="26"/>
          <w:lang w:val="uk-UA"/>
        </w:rPr>
        <w:t xml:space="preserve"> Смертність від туберкульозу</w:t>
      </w:r>
      <w:r w:rsidRPr="008B220C">
        <w:rPr>
          <w:rFonts w:eastAsia="Calibri" w:cs="Times New Roman"/>
          <w:sz w:val="26"/>
          <w:szCs w:val="26"/>
          <w:lang w:val="uk-UA"/>
        </w:rPr>
        <w:t xml:space="preserve"> </w:t>
      </w:r>
      <w:r w:rsidRPr="008B220C">
        <w:rPr>
          <w:rFonts w:eastAsia="Calibri" w:cs="Times New Roman"/>
          <w:color w:val="000000"/>
          <w:sz w:val="26"/>
          <w:szCs w:val="26"/>
          <w:lang w:val="uk-UA"/>
        </w:rPr>
        <w:t xml:space="preserve">по області зменшилась в 2 рази з 25,6 на 100 тис. населення у 2007 році до 11,6 у 2011 році (Україна, 2011 – 15,3). </w:t>
      </w:r>
      <w:r w:rsidRPr="008B220C">
        <w:rPr>
          <w:rFonts w:eastAsia="Calibri" w:cs="Times New Roman"/>
          <w:sz w:val="26"/>
          <w:szCs w:val="26"/>
          <w:lang w:val="uk-UA"/>
        </w:rPr>
        <w:t>Смертність до 1 року спостереження за 2011 рік склала 10,0 % (2005 - 4,8%).</w:t>
      </w:r>
    </w:p>
    <w:p w:rsidR="00C71B8D" w:rsidRPr="008B220C" w:rsidRDefault="00C71B8D" w:rsidP="00E5018E">
      <w:pPr>
        <w:shd w:val="clear" w:color="auto" w:fill="FFFFFF"/>
        <w:spacing w:line="216" w:lineRule="auto"/>
        <w:ind w:firstLine="680"/>
        <w:jc w:val="both"/>
        <w:rPr>
          <w:rFonts w:eastAsia="Calibri" w:cs="Times New Roman"/>
          <w:sz w:val="26"/>
          <w:szCs w:val="26"/>
          <w:lang w:val="uk-UA"/>
        </w:rPr>
      </w:pPr>
      <w:r w:rsidRPr="008B220C">
        <w:rPr>
          <w:rFonts w:eastAsia="Calibri" w:cs="Times New Roman"/>
          <w:color w:val="000000"/>
          <w:spacing w:val="1"/>
          <w:sz w:val="26"/>
          <w:szCs w:val="26"/>
          <w:lang w:val="uk-UA"/>
        </w:rPr>
        <w:t xml:space="preserve">Покращення організації раннього виявлення туберкульозу в загальній мережі лікувально-профілактичних закладів області дало можливість контролювати рівень захворюваності на </w:t>
      </w:r>
      <w:r w:rsidRPr="008B220C">
        <w:rPr>
          <w:rFonts w:eastAsia="Calibri" w:cs="Times New Roman"/>
          <w:b/>
          <w:color w:val="000000"/>
          <w:spacing w:val="1"/>
          <w:sz w:val="26"/>
          <w:szCs w:val="26"/>
          <w:lang w:val="uk-UA"/>
        </w:rPr>
        <w:t>деструктивні форми туберкульозу</w:t>
      </w:r>
      <w:r w:rsidRPr="008B220C">
        <w:rPr>
          <w:rFonts w:eastAsia="Calibri" w:cs="Times New Roman"/>
          <w:color w:val="000000"/>
          <w:spacing w:val="1"/>
          <w:sz w:val="26"/>
          <w:szCs w:val="26"/>
          <w:lang w:val="uk-UA"/>
        </w:rPr>
        <w:t xml:space="preserve"> серед вперше виявлених на легеневі його форми, кількість яких за 5 років зменшилась на 6,8% і склала 19,1 на 100 тис. населення </w:t>
      </w:r>
      <w:r w:rsidRPr="008B220C">
        <w:rPr>
          <w:rFonts w:eastAsia="Calibri" w:cs="Times New Roman"/>
          <w:color w:val="000000"/>
          <w:spacing w:val="-1"/>
          <w:sz w:val="26"/>
          <w:szCs w:val="26"/>
          <w:lang w:val="uk-UA"/>
        </w:rPr>
        <w:t xml:space="preserve">проти </w:t>
      </w:r>
      <w:r w:rsidRPr="008B220C">
        <w:rPr>
          <w:rFonts w:eastAsia="Calibri" w:cs="Times New Roman"/>
          <w:color w:val="000000"/>
          <w:spacing w:val="1"/>
          <w:sz w:val="26"/>
          <w:szCs w:val="26"/>
          <w:lang w:val="uk-UA"/>
        </w:rPr>
        <w:t xml:space="preserve">20,4 </w:t>
      </w:r>
      <w:r w:rsidRPr="008B220C">
        <w:rPr>
          <w:rFonts w:eastAsia="Calibri" w:cs="Times New Roman"/>
          <w:color w:val="000000"/>
          <w:spacing w:val="-1"/>
          <w:sz w:val="26"/>
          <w:szCs w:val="26"/>
          <w:lang w:val="uk-UA"/>
        </w:rPr>
        <w:t xml:space="preserve">у 2007 році. </w:t>
      </w:r>
      <w:r w:rsidRPr="008B220C">
        <w:rPr>
          <w:rFonts w:eastAsia="Calibri" w:cs="Times New Roman"/>
          <w:sz w:val="26"/>
          <w:szCs w:val="26"/>
          <w:lang w:val="uk-UA"/>
        </w:rPr>
        <w:t>З місць позбавлення волі в 2011 році повернулося 631 чоловік, обстежено 98,6% (622). Взято на диспансерний облік в протитуберкульозні заклади 53 особи.</w:t>
      </w:r>
    </w:p>
    <w:p w:rsidR="00C71B8D" w:rsidRPr="008B220C" w:rsidRDefault="00C71B8D" w:rsidP="00E5018E">
      <w:pPr>
        <w:shd w:val="clear" w:color="auto" w:fill="FFFFFF"/>
        <w:spacing w:line="216" w:lineRule="auto"/>
        <w:ind w:firstLine="680"/>
        <w:jc w:val="both"/>
        <w:rPr>
          <w:rFonts w:eastAsia="Calibri" w:cs="Times New Roman"/>
          <w:color w:val="000000"/>
          <w:sz w:val="26"/>
          <w:szCs w:val="26"/>
          <w:lang w:val="uk-UA"/>
        </w:rPr>
      </w:pPr>
      <w:r w:rsidRPr="008B220C">
        <w:rPr>
          <w:rFonts w:eastAsia="Calibri" w:cs="Times New Roman"/>
          <w:sz w:val="26"/>
          <w:szCs w:val="26"/>
          <w:lang w:val="uk-UA"/>
        </w:rPr>
        <w:t xml:space="preserve">Захворюваність на </w:t>
      </w:r>
      <w:r w:rsidRPr="008B220C">
        <w:rPr>
          <w:rFonts w:eastAsia="Calibri" w:cs="Times New Roman"/>
          <w:b/>
          <w:sz w:val="26"/>
          <w:szCs w:val="26"/>
          <w:lang w:val="uk-UA"/>
        </w:rPr>
        <w:t xml:space="preserve">бактеріальні форми туберкульозу </w:t>
      </w:r>
      <w:r w:rsidRPr="008B220C">
        <w:rPr>
          <w:rFonts w:eastAsia="Calibri" w:cs="Times New Roman"/>
          <w:sz w:val="26"/>
          <w:szCs w:val="26"/>
          <w:lang w:val="uk-UA"/>
        </w:rPr>
        <w:t xml:space="preserve">за 5 років збільшилась на 13,1% з 19,2 на 100 тисяч населення у 2007 році до 22,1 у 2011 році, питома вага їх серед усіх вперше виявлених хворих зросла з 36,8% до 37,1%, що свідчить про покращання лабораторної діагностики туберкульозу. Залишилось на стабільно низькому рівні </w:t>
      </w:r>
      <w:r w:rsidRPr="008B220C">
        <w:rPr>
          <w:rFonts w:eastAsia="Calibri" w:cs="Times New Roman"/>
          <w:color w:val="000000"/>
          <w:sz w:val="26"/>
          <w:szCs w:val="26"/>
          <w:lang w:val="uk-UA"/>
        </w:rPr>
        <w:t>виявлення туберкульозу методом мікроскопії мазка мокротиння в мережі загально-лікувальних закладів</w:t>
      </w:r>
      <w:r w:rsidRPr="008B220C">
        <w:rPr>
          <w:rFonts w:eastAsia="Calibri" w:cs="Times New Roman"/>
          <w:sz w:val="26"/>
          <w:szCs w:val="26"/>
          <w:lang w:val="uk-UA"/>
        </w:rPr>
        <w:t xml:space="preserve"> і становить </w:t>
      </w:r>
      <w:r w:rsidRPr="008B220C">
        <w:rPr>
          <w:rFonts w:eastAsia="Calibri" w:cs="Times New Roman"/>
          <w:sz w:val="26"/>
          <w:szCs w:val="26"/>
          <w:lang w:val="uk-UA"/>
        </w:rPr>
        <w:lastRenderedPageBreak/>
        <w:t>1,6% в 2011 році</w:t>
      </w:r>
      <w:r w:rsidRPr="008B220C">
        <w:rPr>
          <w:rFonts w:eastAsia="Calibri" w:cs="Times New Roman"/>
          <w:color w:val="000000"/>
          <w:sz w:val="26"/>
          <w:szCs w:val="26"/>
          <w:lang w:val="uk-UA"/>
        </w:rPr>
        <w:t>. Даний показник необхідно покращувати шляхом впровадження програми контролю якості мікроскопії мазка мокротиння, модернізації лабораторій І-ІІІ рівнів, продовження навчання медичного персоналу.</w:t>
      </w:r>
    </w:p>
    <w:p w:rsidR="00C71B8D" w:rsidRPr="008B220C" w:rsidRDefault="00C71B8D" w:rsidP="00E5018E">
      <w:pPr>
        <w:spacing w:line="216" w:lineRule="auto"/>
        <w:ind w:firstLine="567"/>
        <w:jc w:val="both"/>
        <w:rPr>
          <w:rFonts w:eastAsia="Calibri" w:cs="Times New Roman"/>
          <w:sz w:val="26"/>
          <w:szCs w:val="26"/>
          <w:lang w:val="uk-UA"/>
        </w:rPr>
      </w:pPr>
      <w:r w:rsidRPr="008B220C">
        <w:rPr>
          <w:rFonts w:eastAsia="Calibri" w:cs="Times New Roman"/>
          <w:sz w:val="26"/>
          <w:szCs w:val="26"/>
          <w:lang w:val="uk-UA"/>
        </w:rPr>
        <w:t>Одночасно із зростаючою епідемією ВІЛ/СНІД, швидко зростає і частка пацієнтів із ко-інфекцією туберкульоз/ВІЛ-інфекція (ТБ/ВІЛ). З 2007 року і до 2011 року захворюваність зросла більше, ніж у 2 рази (з 2,3 на 100 тис.</w:t>
      </w:r>
      <w:r w:rsidRPr="008B220C">
        <w:rPr>
          <w:rFonts w:eastAsia="Calibri" w:cs="Times New Roman"/>
          <w:sz w:val="26"/>
          <w:szCs w:val="26"/>
          <w:u w:val="single"/>
          <w:lang w:val="uk-UA"/>
        </w:rPr>
        <w:t xml:space="preserve"> </w:t>
      </w:r>
      <w:r w:rsidRPr="008B220C">
        <w:rPr>
          <w:rFonts w:eastAsia="Calibri" w:cs="Times New Roman"/>
          <w:sz w:val="26"/>
          <w:szCs w:val="26"/>
          <w:lang w:val="uk-UA"/>
        </w:rPr>
        <w:t xml:space="preserve">населення до 5,7 відповідно). Питома вага серед загального числа хворих з новими випадками туберкульозу зросла з 4,0% в 2007 році до 10,4% у 2011 році (по Україні – 13,6%). Особливу небезпеку становить поєднання </w:t>
      </w:r>
      <w:proofErr w:type="spellStart"/>
      <w:r w:rsidRPr="008B220C">
        <w:rPr>
          <w:rFonts w:eastAsia="Calibri" w:cs="Times New Roman"/>
          <w:sz w:val="26"/>
          <w:szCs w:val="26"/>
          <w:lang w:val="uk-UA"/>
        </w:rPr>
        <w:t>мультирезистентного</w:t>
      </w:r>
      <w:proofErr w:type="spellEnd"/>
      <w:r w:rsidRPr="008B220C">
        <w:rPr>
          <w:rFonts w:eastAsia="Calibri" w:cs="Times New Roman"/>
          <w:sz w:val="26"/>
          <w:szCs w:val="26"/>
          <w:lang w:val="uk-UA"/>
        </w:rPr>
        <w:t xml:space="preserve"> туберкульозу з ВІЛ-інфекцією серед уразливих до інфікування ВІЛ груп населення. Одночасно зросла і смертність хворих  від поєднаної ТБ/ВІЛ ко-інфекції з 0,3 на 100 тис. населення у 2007 році до 4,6 у 2011 році. Це дає підстави розробити стратегію по боротьбі з поєднаною патологією ТБ/ВІЛ ко-інфекцією.</w:t>
      </w:r>
    </w:p>
    <w:p w:rsidR="00C71B8D" w:rsidRPr="008B220C" w:rsidRDefault="00C71B8D" w:rsidP="00E5018E">
      <w:pPr>
        <w:shd w:val="clear" w:color="auto" w:fill="FFFFFF"/>
        <w:spacing w:line="216" w:lineRule="auto"/>
        <w:ind w:firstLine="680"/>
        <w:jc w:val="both"/>
        <w:rPr>
          <w:rFonts w:eastAsia="Calibri" w:cs="Times New Roman"/>
          <w:sz w:val="26"/>
          <w:szCs w:val="26"/>
          <w:lang w:val="uk-UA"/>
        </w:rPr>
      </w:pPr>
      <w:r w:rsidRPr="008B220C">
        <w:rPr>
          <w:rFonts w:eastAsia="Calibri" w:cs="Times New Roman"/>
          <w:color w:val="000000"/>
          <w:sz w:val="26"/>
          <w:szCs w:val="26"/>
          <w:lang w:val="uk-UA"/>
        </w:rPr>
        <w:t>Разом з тим, існує ряд проблем, які потребують додаткових зусиль. Так, в</w:t>
      </w:r>
      <w:r w:rsidRPr="008B220C">
        <w:rPr>
          <w:rFonts w:eastAsia="Calibri" w:cs="Times New Roman"/>
          <w:sz w:val="26"/>
          <w:szCs w:val="26"/>
          <w:lang w:val="uk-UA"/>
        </w:rPr>
        <w:t xml:space="preserve"> області п</w:t>
      </w:r>
      <w:r w:rsidRPr="008B220C">
        <w:rPr>
          <w:rFonts w:eastAsia="Calibri" w:cs="Times New Roman"/>
          <w:color w:val="000000"/>
          <w:sz w:val="26"/>
          <w:szCs w:val="26"/>
          <w:lang w:val="uk-UA"/>
        </w:rPr>
        <w:t xml:space="preserve">родовжує зростати кількість </w:t>
      </w:r>
      <w:proofErr w:type="spellStart"/>
      <w:r w:rsidRPr="008B220C">
        <w:rPr>
          <w:rFonts w:eastAsia="Calibri" w:cs="Times New Roman"/>
          <w:color w:val="000000"/>
          <w:sz w:val="26"/>
          <w:szCs w:val="26"/>
          <w:lang w:val="uk-UA"/>
        </w:rPr>
        <w:t>мультирезистентного</w:t>
      </w:r>
      <w:proofErr w:type="spellEnd"/>
      <w:r w:rsidRPr="008B220C">
        <w:rPr>
          <w:rFonts w:eastAsia="Calibri" w:cs="Times New Roman"/>
          <w:color w:val="000000"/>
          <w:sz w:val="26"/>
          <w:szCs w:val="26"/>
          <w:lang w:val="uk-UA"/>
        </w:rPr>
        <w:t xml:space="preserve"> туберкульозу, з 45 – у 2009 році до 76 – у 2011 році. </w:t>
      </w:r>
      <w:r w:rsidRPr="008B220C">
        <w:rPr>
          <w:rFonts w:eastAsia="Calibri" w:cs="Times New Roman"/>
          <w:sz w:val="26"/>
          <w:szCs w:val="26"/>
          <w:lang w:val="uk-UA"/>
        </w:rPr>
        <w:t xml:space="preserve">За даними звіту ТБ 11, які введені в 2010 році,  первинна </w:t>
      </w:r>
      <w:proofErr w:type="spellStart"/>
      <w:r w:rsidRPr="008B220C">
        <w:rPr>
          <w:rFonts w:eastAsia="Calibri" w:cs="Times New Roman"/>
          <w:sz w:val="26"/>
          <w:szCs w:val="26"/>
          <w:lang w:val="uk-UA"/>
        </w:rPr>
        <w:t>мультирезистентність</w:t>
      </w:r>
      <w:proofErr w:type="spellEnd"/>
      <w:r w:rsidRPr="008B220C">
        <w:rPr>
          <w:rFonts w:eastAsia="Calibri" w:cs="Times New Roman"/>
          <w:sz w:val="26"/>
          <w:szCs w:val="26"/>
          <w:lang w:val="uk-UA"/>
        </w:rPr>
        <w:t xml:space="preserve"> серед всіх вперше виявлених </w:t>
      </w:r>
      <w:proofErr w:type="spellStart"/>
      <w:r w:rsidRPr="008B220C">
        <w:rPr>
          <w:rFonts w:eastAsia="Calibri" w:cs="Times New Roman"/>
          <w:sz w:val="26"/>
          <w:szCs w:val="26"/>
          <w:lang w:val="uk-UA"/>
        </w:rPr>
        <w:t>бактеріовиділювачів</w:t>
      </w:r>
      <w:proofErr w:type="spellEnd"/>
      <w:r w:rsidRPr="008B220C">
        <w:rPr>
          <w:rFonts w:eastAsia="Calibri" w:cs="Times New Roman"/>
          <w:sz w:val="26"/>
          <w:szCs w:val="26"/>
          <w:lang w:val="uk-UA"/>
        </w:rPr>
        <w:t xml:space="preserve"> складає 18,9% в 2010 році та 15,5% в 2011 році. </w:t>
      </w:r>
      <w:r w:rsidRPr="008B220C">
        <w:rPr>
          <w:rFonts w:eastAsia="Calibri" w:cs="Times New Roman"/>
          <w:color w:val="000000"/>
          <w:sz w:val="26"/>
          <w:szCs w:val="26"/>
          <w:lang w:val="uk-UA"/>
        </w:rPr>
        <w:t xml:space="preserve">Почали </w:t>
      </w:r>
      <w:r w:rsidRPr="008B220C">
        <w:rPr>
          <w:rFonts w:eastAsia="Calibri" w:cs="Times New Roman"/>
          <w:sz w:val="26"/>
          <w:szCs w:val="26"/>
          <w:lang w:val="uk-UA"/>
        </w:rPr>
        <w:t>реєструватися випадки туберкульозу з розширеною медикаментозною резистентністю, кількість яких за прогнозами може збільшуватися.</w:t>
      </w:r>
    </w:p>
    <w:p w:rsidR="00C71B8D" w:rsidRPr="008B220C" w:rsidRDefault="00C71B8D" w:rsidP="00E5018E">
      <w:pPr>
        <w:shd w:val="clear" w:color="auto" w:fill="FFFFFF"/>
        <w:spacing w:line="216" w:lineRule="auto"/>
        <w:ind w:firstLine="680"/>
        <w:jc w:val="both"/>
        <w:rPr>
          <w:rFonts w:eastAsia="Calibri" w:cs="Times New Roman"/>
          <w:sz w:val="26"/>
          <w:szCs w:val="26"/>
          <w:lang w:val="uk-UA"/>
        </w:rPr>
      </w:pPr>
      <w:r w:rsidRPr="008B220C">
        <w:rPr>
          <w:rFonts w:eastAsia="Calibri" w:cs="Times New Roman"/>
          <w:sz w:val="26"/>
          <w:szCs w:val="26"/>
          <w:lang w:val="uk-UA"/>
        </w:rPr>
        <w:t>За даними форм ТБ 08 ефективність лікування вперше виявленого туберкульозу зросла на 2,3% і становить 79,0% за 2010 рік проти 77,2% за 2009 рік. За рекомендаціями Всесвітньої організації охорони здоров’я для успішної протидії захворюванню на туберкульоз необхідно виліковувати 85% хворих.</w:t>
      </w:r>
    </w:p>
    <w:p w:rsidR="00C71B8D" w:rsidRPr="008B220C" w:rsidRDefault="00C71B8D" w:rsidP="00E5018E">
      <w:pPr>
        <w:spacing w:line="216" w:lineRule="auto"/>
        <w:ind w:firstLine="680"/>
        <w:jc w:val="both"/>
        <w:rPr>
          <w:rFonts w:eastAsia="Calibri" w:cs="Times New Roman"/>
          <w:sz w:val="26"/>
          <w:szCs w:val="26"/>
          <w:lang w:val="uk-UA"/>
        </w:rPr>
      </w:pPr>
      <w:r w:rsidRPr="008B220C">
        <w:rPr>
          <w:rFonts w:eastAsia="Calibri" w:cs="Times New Roman"/>
          <w:sz w:val="26"/>
          <w:szCs w:val="26"/>
          <w:lang w:val="uk-UA"/>
        </w:rPr>
        <w:t>Індикатором дотримання Стандарту інфекційного контролю є захворюваність медичних працівників, яка в області зменшилась майже в 5 разів (з 19,2 на 10 000 медичних працівників загально лікувальної мережі (ЗЛМ) включно з протитуберкульозними закладами у 2007 році, коли вона була найвищою за останні 10 років до 4,1 у 2011 році). Захворюваність на всі форми активного туберкульозу медичних працівників протитуберкульозних закладів України у відсотках до всього захворювань медичних працівників ЗЛМ у 2007 році складала 19,2%, протягом 2008 та 2009 років складала 0, але у 2011 році підвищилась до 18,2%. Ці показники свідчать про необхідність впровадження жорсткого нагляду щодо виконання Стандартів інфекційного контролю як в  протитуберкульозних закладах, так і у закладах загально лікувальної мережі.</w:t>
      </w:r>
    </w:p>
    <w:p w:rsidR="00C71B8D" w:rsidRPr="008B220C" w:rsidRDefault="00C71B8D" w:rsidP="00E5018E">
      <w:pPr>
        <w:spacing w:line="216" w:lineRule="auto"/>
        <w:ind w:firstLine="708"/>
        <w:jc w:val="both"/>
        <w:rPr>
          <w:rFonts w:eastAsia="Calibri" w:cs="Times New Roman"/>
          <w:sz w:val="26"/>
          <w:szCs w:val="26"/>
          <w:lang w:val="uk-UA"/>
        </w:rPr>
      </w:pPr>
      <w:r w:rsidRPr="008B220C">
        <w:rPr>
          <w:rFonts w:eastAsia="Calibri" w:cs="Times New Roman"/>
          <w:sz w:val="26"/>
          <w:szCs w:val="26"/>
          <w:lang w:val="uk-UA"/>
        </w:rPr>
        <w:t>У зв’язку з цим існує нагальна потреба для вирішення існуючих проблем епідемії туберкульозу в області розробити нову Обласну цільову соціальну програму протидії захворюванню на туберкульоз у 2013-2016 роках в Полтавській області (далі – Програма), спрямованої на запобігання поширенню туберкульозу.</w:t>
      </w:r>
    </w:p>
    <w:p w:rsidR="00A032F5" w:rsidRPr="008B220C" w:rsidRDefault="00A032F5" w:rsidP="00E5018E">
      <w:pPr>
        <w:pStyle w:val="1"/>
        <w:spacing w:line="216" w:lineRule="auto"/>
        <w:ind w:firstLine="0"/>
        <w:rPr>
          <w:sz w:val="26"/>
          <w:szCs w:val="26"/>
        </w:rPr>
      </w:pPr>
    </w:p>
    <w:p w:rsidR="004E2027" w:rsidRPr="008B220C" w:rsidRDefault="004E2027" w:rsidP="00E5018E">
      <w:pPr>
        <w:pStyle w:val="1"/>
        <w:spacing w:line="216" w:lineRule="auto"/>
        <w:ind w:firstLine="0"/>
        <w:rPr>
          <w:sz w:val="26"/>
          <w:szCs w:val="26"/>
        </w:rPr>
      </w:pPr>
      <w:r w:rsidRPr="008B220C">
        <w:rPr>
          <w:sz w:val="26"/>
          <w:szCs w:val="26"/>
        </w:rPr>
        <w:t>Мета Програми</w:t>
      </w:r>
    </w:p>
    <w:p w:rsidR="004E2027" w:rsidRPr="008B220C" w:rsidRDefault="004E2027" w:rsidP="00E5018E">
      <w:pPr>
        <w:spacing w:line="216" w:lineRule="auto"/>
        <w:ind w:left="360"/>
        <w:rPr>
          <w:rFonts w:eastAsia="Calibri" w:cs="Times New Roman"/>
          <w:b/>
          <w:sz w:val="26"/>
          <w:szCs w:val="26"/>
          <w:lang w:val="uk-UA"/>
        </w:rPr>
      </w:pPr>
    </w:p>
    <w:p w:rsidR="004E2027" w:rsidRPr="008B220C" w:rsidRDefault="004E2027" w:rsidP="00E5018E">
      <w:pPr>
        <w:shd w:val="clear" w:color="auto" w:fill="FFFFFF"/>
        <w:spacing w:line="216" w:lineRule="auto"/>
        <w:ind w:right="24" w:firstLine="708"/>
        <w:jc w:val="both"/>
        <w:rPr>
          <w:rFonts w:eastAsia="Calibri" w:cs="Times New Roman"/>
          <w:color w:val="000000"/>
          <w:sz w:val="26"/>
          <w:szCs w:val="26"/>
          <w:lang w:val="uk-UA"/>
        </w:rPr>
      </w:pPr>
      <w:r w:rsidRPr="008B220C">
        <w:rPr>
          <w:rFonts w:eastAsia="Calibri" w:cs="Times New Roman"/>
          <w:sz w:val="26"/>
          <w:szCs w:val="26"/>
          <w:lang w:val="uk-UA"/>
        </w:rPr>
        <w:t>Головною метою Обласної цільової соціальної програми протидії захворюванню на туберкульоз у 2013-2016 роках в Полтавській області є подальше поліпшення епідемічної ситуації, а саме зниження захворюваності та смертності від туберкульозу, впровадження ефективних заходів для подолання проблеми</w:t>
      </w:r>
      <w:r w:rsidRPr="008B220C">
        <w:rPr>
          <w:rFonts w:eastAsia="Calibri" w:cs="Times New Roman"/>
          <w:bCs/>
          <w:sz w:val="26"/>
          <w:szCs w:val="26"/>
          <w:lang w:val="uk-UA"/>
        </w:rPr>
        <w:t xml:space="preserve"> ко-інфекції ТБ/ВІЛ та зниження смертності від ТБ/ВІЛ ко-інфекції, </w:t>
      </w:r>
      <w:r w:rsidRPr="008B220C">
        <w:rPr>
          <w:rFonts w:eastAsia="Calibri" w:cs="Times New Roman"/>
          <w:sz w:val="26"/>
          <w:szCs w:val="26"/>
          <w:lang w:val="uk-UA"/>
        </w:rPr>
        <w:t xml:space="preserve">зниження темпів поширення </w:t>
      </w:r>
      <w:proofErr w:type="spellStart"/>
      <w:r w:rsidRPr="008B220C">
        <w:rPr>
          <w:rFonts w:eastAsia="Calibri" w:cs="Times New Roman"/>
          <w:bCs/>
          <w:sz w:val="26"/>
          <w:szCs w:val="26"/>
          <w:lang w:val="uk-UA"/>
        </w:rPr>
        <w:t>мультирезистентного</w:t>
      </w:r>
      <w:proofErr w:type="spellEnd"/>
      <w:r w:rsidRPr="008B220C">
        <w:rPr>
          <w:rFonts w:eastAsia="Calibri" w:cs="Times New Roman"/>
          <w:sz w:val="26"/>
          <w:szCs w:val="26"/>
          <w:lang w:val="uk-UA"/>
        </w:rPr>
        <w:t xml:space="preserve"> туберкульозу шляхом реалізації державної політики, що ґрунтується на принципах забезпечення загального та рівного доступу населення до якісних послуг з профілактики, діагностики та лікування туберкульозу. </w:t>
      </w:r>
    </w:p>
    <w:p w:rsidR="004E2027" w:rsidRPr="008B220C" w:rsidRDefault="004E2027" w:rsidP="00E5018E">
      <w:pPr>
        <w:shd w:val="clear" w:color="auto" w:fill="FFFFFF"/>
        <w:spacing w:line="216" w:lineRule="auto"/>
        <w:ind w:left="5" w:firstLine="706"/>
        <w:jc w:val="both"/>
        <w:rPr>
          <w:rFonts w:eastAsia="Calibri" w:cs="Times New Roman"/>
          <w:color w:val="000000"/>
          <w:sz w:val="26"/>
          <w:szCs w:val="26"/>
          <w:lang w:val="uk-UA"/>
        </w:rPr>
      </w:pPr>
    </w:p>
    <w:p w:rsidR="004E2027" w:rsidRPr="008B220C" w:rsidRDefault="004E2027" w:rsidP="00E5018E">
      <w:pPr>
        <w:shd w:val="clear" w:color="auto" w:fill="FFFFFF"/>
        <w:spacing w:line="216" w:lineRule="auto"/>
        <w:ind w:left="5" w:hanging="5"/>
        <w:jc w:val="center"/>
        <w:rPr>
          <w:rFonts w:eastAsia="Calibri" w:cs="Times New Roman"/>
          <w:b/>
          <w:color w:val="000000"/>
          <w:sz w:val="26"/>
          <w:szCs w:val="26"/>
          <w:lang w:val="uk-UA"/>
        </w:rPr>
      </w:pPr>
      <w:r w:rsidRPr="008B220C">
        <w:rPr>
          <w:rFonts w:eastAsia="Calibri" w:cs="Times New Roman"/>
          <w:b/>
          <w:color w:val="000000"/>
          <w:sz w:val="26"/>
          <w:szCs w:val="26"/>
          <w:lang w:val="uk-UA"/>
        </w:rPr>
        <w:t>Шляхи і засоби розв’язання проблем</w:t>
      </w:r>
    </w:p>
    <w:p w:rsidR="004E2027" w:rsidRPr="008B220C" w:rsidRDefault="004E2027" w:rsidP="00E5018E">
      <w:pPr>
        <w:shd w:val="clear" w:color="auto" w:fill="FFFFFF"/>
        <w:spacing w:line="216" w:lineRule="auto"/>
        <w:ind w:left="5" w:firstLine="706"/>
        <w:jc w:val="both"/>
        <w:rPr>
          <w:rFonts w:eastAsia="Calibri" w:cs="Times New Roman"/>
          <w:color w:val="000000"/>
          <w:sz w:val="26"/>
          <w:szCs w:val="26"/>
          <w:lang w:val="uk-UA"/>
        </w:rPr>
      </w:pPr>
    </w:p>
    <w:p w:rsidR="004E2027" w:rsidRPr="008B220C" w:rsidRDefault="004E2027" w:rsidP="00E5018E">
      <w:pPr>
        <w:shd w:val="clear" w:color="auto" w:fill="FFFFFF"/>
        <w:spacing w:line="216" w:lineRule="auto"/>
        <w:ind w:left="5" w:firstLine="706"/>
        <w:jc w:val="both"/>
        <w:rPr>
          <w:rFonts w:eastAsia="Calibri" w:cs="Times New Roman"/>
          <w:sz w:val="26"/>
          <w:szCs w:val="26"/>
          <w:lang w:val="uk-UA"/>
        </w:rPr>
      </w:pPr>
      <w:r w:rsidRPr="008B220C">
        <w:rPr>
          <w:rFonts w:eastAsia="Calibri" w:cs="Times New Roman"/>
          <w:color w:val="000000"/>
          <w:sz w:val="26"/>
          <w:szCs w:val="26"/>
          <w:lang w:val="uk-UA"/>
        </w:rPr>
        <w:t>Досягнення визначеної цією програмою мети можливе шляхом розв’язання таких проблем:</w:t>
      </w:r>
    </w:p>
    <w:p w:rsidR="004E2027" w:rsidRPr="008B220C" w:rsidRDefault="004E2027" w:rsidP="00E5018E">
      <w:pPr>
        <w:numPr>
          <w:ilvl w:val="0"/>
          <w:numId w:val="1"/>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 xml:space="preserve">зміцнення системи охорони здоров’я шляхом підвищення спроможності закладів первинної та вторинної медичної допомоги у профілактиці та діагностиці туберкульозу, інтеграції </w:t>
      </w:r>
      <w:r w:rsidRPr="008B220C">
        <w:rPr>
          <w:rFonts w:eastAsia="Calibri" w:cs="Times New Roman"/>
          <w:sz w:val="26"/>
          <w:szCs w:val="26"/>
          <w:lang w:val="uk-UA"/>
        </w:rPr>
        <w:lastRenderedPageBreak/>
        <w:t xml:space="preserve">надання медичної допомоги, </w:t>
      </w:r>
      <w:r w:rsidRPr="008B220C">
        <w:rPr>
          <w:rFonts w:eastAsia="Calibri" w:cs="Times New Roman"/>
          <w:bCs/>
          <w:sz w:val="26"/>
          <w:szCs w:val="26"/>
          <w:lang w:val="uk-UA"/>
        </w:rPr>
        <w:t>запровадження нових підходів до підвищення кваліфікації персоналу з використанням ресурсів міжнародних та місцевих неурядових організацій (НУО), підготовки</w:t>
      </w:r>
      <w:r w:rsidRPr="008B220C">
        <w:rPr>
          <w:rFonts w:eastAsia="Calibri" w:cs="Times New Roman"/>
          <w:sz w:val="26"/>
          <w:szCs w:val="26"/>
          <w:lang w:val="uk-UA"/>
        </w:rPr>
        <w:t xml:space="preserve"> плану розвитку кадрових ресурсів, запровадження механізмів використання інформації та її аналіз;</w:t>
      </w:r>
    </w:p>
    <w:p w:rsidR="004E2027" w:rsidRPr="008B220C" w:rsidRDefault="004E2027" w:rsidP="00E5018E">
      <w:pPr>
        <w:numPr>
          <w:ilvl w:val="0"/>
          <w:numId w:val="1"/>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 xml:space="preserve">реорганізація лабораторної мережі з мікробіологічної діагностики туберкульозу для підвищення якості виявлення випадків захворювання шляхом оптимізації кількості лабораторій І-ІІ рівнів, забезпечення функціонування обласної лабораторії 3-го рівня, доукомплектування їх сучасним обладнанням, застосування швидких тестів для діагностики звичайного та </w:t>
      </w:r>
      <w:proofErr w:type="spellStart"/>
      <w:r w:rsidRPr="008B220C">
        <w:rPr>
          <w:rFonts w:eastAsia="Calibri" w:cs="Times New Roman"/>
          <w:sz w:val="26"/>
          <w:szCs w:val="26"/>
          <w:lang w:val="uk-UA"/>
        </w:rPr>
        <w:t>мультирезистентного</w:t>
      </w:r>
      <w:proofErr w:type="spellEnd"/>
      <w:r w:rsidRPr="008B220C">
        <w:rPr>
          <w:rFonts w:eastAsia="Calibri" w:cs="Times New Roman"/>
          <w:sz w:val="26"/>
          <w:szCs w:val="26"/>
          <w:lang w:val="uk-UA"/>
        </w:rPr>
        <w:t xml:space="preserve"> туберкульозу, навчання персоналу та забезпечення контролю якості лабораторної діагностики на всіх рівнях;</w:t>
      </w:r>
    </w:p>
    <w:p w:rsidR="004E2027" w:rsidRPr="008B220C" w:rsidRDefault="004E2027" w:rsidP="00E5018E">
      <w:pPr>
        <w:numPr>
          <w:ilvl w:val="0"/>
          <w:numId w:val="1"/>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 xml:space="preserve">підвищення доступу до діагностики, лікування та догляду через заходи з </w:t>
      </w:r>
      <w:proofErr w:type="spellStart"/>
      <w:r w:rsidRPr="008B220C">
        <w:rPr>
          <w:rFonts w:eastAsia="Calibri" w:cs="Times New Roman"/>
          <w:sz w:val="26"/>
          <w:szCs w:val="26"/>
          <w:lang w:val="uk-UA"/>
        </w:rPr>
        <w:t>адвокації</w:t>
      </w:r>
      <w:proofErr w:type="spellEnd"/>
      <w:r w:rsidRPr="008B220C">
        <w:rPr>
          <w:rFonts w:eastAsia="Calibri" w:cs="Times New Roman"/>
          <w:sz w:val="26"/>
          <w:szCs w:val="26"/>
          <w:lang w:val="uk-UA"/>
        </w:rPr>
        <w:t>, комунікації та соціальної мобілізації (АКСМ) шляхом розробки та запровадження скоординованої обласної стратегії АКСМ на обласному та регіональному рівні, залучення організацій громадянського суспільства до активної участі в протидії туберкульозу, охоплення навчанням і підтримкою груп населення з обмеженим доступом до медичної допомоги, підвищення рівня громадської обізнаності, зниження стигми та дискримінації по відношенню до хворих на туберкульоз та ВІЛ-інфікованих осіб; забезпечення належних умов для ефективної реалізації потенціалу та інституційного розвитку об’єднань громадян, які працюють у сфері туберкульозу;</w:t>
      </w:r>
    </w:p>
    <w:p w:rsidR="004E2027" w:rsidRPr="008B220C" w:rsidRDefault="004E2027" w:rsidP="00E5018E">
      <w:pPr>
        <w:numPr>
          <w:ilvl w:val="0"/>
          <w:numId w:val="1"/>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запровадження сучасних заходів інфекційного контролю туберкульозу у закладах охорони здоров’я, місцях довгострокового перебування людей та проживання хворих на туберкульоз, а також зміцнення матеріально-технічної бази протитуберкульозних закладів;</w:t>
      </w:r>
    </w:p>
    <w:p w:rsidR="004E2027" w:rsidRPr="008B220C" w:rsidRDefault="004E2027" w:rsidP="00E5018E">
      <w:pPr>
        <w:numPr>
          <w:ilvl w:val="0"/>
          <w:numId w:val="1"/>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запровадження у сфері протитуберкульозної допомоги підходу до надання медичної допомоги, що орієнтований на пацієнта, шляхом децентралізації надання медичної допомоги та впровадження ефективних методів інформаційної та консультативної допомоги пацієнтам;</w:t>
      </w:r>
    </w:p>
    <w:p w:rsidR="004E2027" w:rsidRPr="008B220C" w:rsidRDefault="004E2027" w:rsidP="00E5018E">
      <w:pPr>
        <w:numPr>
          <w:ilvl w:val="0"/>
          <w:numId w:val="1"/>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 xml:space="preserve">безперебійне забезпечення медичних закладів, що здійснюють лікування хворих на туберкульоз на стаціонарному та амбулаторному етапах, протитуберкульозними препаратами першого та другого ряду шляхом впровадження сучасної системи підрахунку потреб та контролю за використанням медичних препаратів; </w:t>
      </w:r>
    </w:p>
    <w:p w:rsidR="004E2027" w:rsidRPr="008B220C" w:rsidRDefault="004E2027" w:rsidP="00E5018E">
      <w:pPr>
        <w:numPr>
          <w:ilvl w:val="0"/>
          <w:numId w:val="1"/>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підвищення якості контрольованого лікування шляхом створення розгалуженої мережі кабінетів контрольованого лікування в закладах охорони здоров’я, впровадження соціального супроводу пацієнтів на етапі амбулаторного лікування, додаткового навчання медичного персоналу для підвищення його спроможності у виробленні прихильності пацієнта до лікування туберкульозу;</w:t>
      </w:r>
    </w:p>
    <w:p w:rsidR="004E2027" w:rsidRPr="008B220C" w:rsidRDefault="004E2027" w:rsidP="00E5018E">
      <w:pPr>
        <w:numPr>
          <w:ilvl w:val="0"/>
          <w:numId w:val="1"/>
        </w:numPr>
        <w:autoSpaceDE w:val="0"/>
        <w:autoSpaceDN w:val="0"/>
        <w:adjustRightInd w:val="0"/>
        <w:spacing w:line="216" w:lineRule="auto"/>
        <w:ind w:left="142" w:hanging="142"/>
        <w:jc w:val="both"/>
        <w:rPr>
          <w:rFonts w:eastAsia="Calibri" w:cs="Times New Roman"/>
          <w:bCs/>
          <w:sz w:val="26"/>
          <w:szCs w:val="26"/>
          <w:lang w:val="uk-UA"/>
        </w:rPr>
      </w:pPr>
      <w:r w:rsidRPr="008B220C">
        <w:rPr>
          <w:rFonts w:eastAsia="Calibri" w:cs="Times New Roman"/>
          <w:bCs/>
          <w:sz w:val="26"/>
          <w:szCs w:val="26"/>
          <w:lang w:val="uk-UA"/>
        </w:rPr>
        <w:t>розробка та впровадження ефективної програми подолання проблеми ТБ/ВІЛ ко-інфекції для покращання координації зусиль закладів охорони здоров’я, неурядового сектору у веденні випадку ТБ/ВІЛ ко-інфекції та підвищення доступу представників уразливих груп населення до послуг з профілактики, виявлення, діагностики та комплексного лікування пацієнта з ТБ/ВІЛ ко-інфекцією;</w:t>
      </w:r>
    </w:p>
    <w:p w:rsidR="004E2027" w:rsidRPr="008B220C" w:rsidRDefault="004E2027" w:rsidP="00E5018E">
      <w:pPr>
        <w:numPr>
          <w:ilvl w:val="0"/>
          <w:numId w:val="1"/>
        </w:numPr>
        <w:spacing w:line="216" w:lineRule="auto"/>
        <w:ind w:left="142" w:hanging="142"/>
        <w:jc w:val="both"/>
        <w:rPr>
          <w:rFonts w:eastAsia="Calibri" w:cs="Times New Roman"/>
          <w:bCs/>
          <w:sz w:val="26"/>
          <w:szCs w:val="26"/>
          <w:lang w:val="uk-UA"/>
        </w:rPr>
      </w:pPr>
      <w:r w:rsidRPr="008B220C">
        <w:rPr>
          <w:rFonts w:eastAsia="Calibri" w:cs="Times New Roman"/>
          <w:bCs/>
          <w:sz w:val="26"/>
          <w:szCs w:val="26"/>
          <w:lang w:val="uk-UA"/>
        </w:rPr>
        <w:t xml:space="preserve">посилення взаємодії та координації між управліннями, відомствами та інститутами громадянського суспільства щодо своєчасної діагностики і лікування хворих на звичайний та </w:t>
      </w:r>
      <w:proofErr w:type="spellStart"/>
      <w:r w:rsidRPr="008B220C">
        <w:rPr>
          <w:rFonts w:eastAsia="Calibri" w:cs="Times New Roman"/>
          <w:bCs/>
          <w:sz w:val="26"/>
          <w:szCs w:val="26"/>
          <w:lang w:val="uk-UA"/>
        </w:rPr>
        <w:t>мультирезистентний</w:t>
      </w:r>
      <w:proofErr w:type="spellEnd"/>
      <w:r w:rsidRPr="008B220C">
        <w:rPr>
          <w:rFonts w:eastAsia="Calibri" w:cs="Times New Roman"/>
          <w:bCs/>
          <w:sz w:val="26"/>
          <w:szCs w:val="26"/>
          <w:lang w:val="uk-UA"/>
        </w:rPr>
        <w:t xml:space="preserve"> туберкульоз осіб з груп ризику, зокрема бездомних осіб, осіб, які перебувають в місцях позбавлення волі, та організації контрольованого лікування хворих на активний туберкульоз, що звільнилися з місць позбавлення волі;</w:t>
      </w:r>
    </w:p>
    <w:p w:rsidR="004E2027" w:rsidRPr="008B220C" w:rsidRDefault="004E2027" w:rsidP="00E5018E">
      <w:pPr>
        <w:numPr>
          <w:ilvl w:val="0"/>
          <w:numId w:val="1"/>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вдосконалення надання стаціонарної медичної допомоги тимчасово затриманим за підозрою у вчиненні злочинів та взятим під варту особам, хворим на заразну форму туберкульозу.</w:t>
      </w:r>
    </w:p>
    <w:p w:rsidR="004E2027" w:rsidRPr="008B220C" w:rsidRDefault="004E2027" w:rsidP="00E5018E">
      <w:pPr>
        <w:numPr>
          <w:ilvl w:val="0"/>
          <w:numId w:val="1"/>
        </w:numPr>
        <w:spacing w:line="216" w:lineRule="auto"/>
        <w:ind w:left="142" w:hanging="142"/>
        <w:jc w:val="both"/>
        <w:rPr>
          <w:rFonts w:eastAsia="Calibri" w:cs="Times New Roman"/>
          <w:sz w:val="26"/>
          <w:szCs w:val="26"/>
          <w:lang w:val="uk-UA"/>
        </w:rPr>
      </w:pPr>
      <w:r w:rsidRPr="008B220C">
        <w:rPr>
          <w:rFonts w:eastAsia="Calibri" w:cs="Times New Roman"/>
          <w:color w:val="000000"/>
          <w:sz w:val="26"/>
          <w:szCs w:val="26"/>
          <w:lang w:val="uk-UA"/>
        </w:rPr>
        <w:t xml:space="preserve">розвитку </w:t>
      </w:r>
      <w:r w:rsidRPr="008B220C">
        <w:rPr>
          <w:rFonts w:eastAsia="Calibri" w:cs="Times New Roman"/>
          <w:sz w:val="26"/>
          <w:szCs w:val="26"/>
          <w:lang w:val="uk-UA"/>
        </w:rPr>
        <w:t xml:space="preserve">паліативної та </w:t>
      </w:r>
      <w:proofErr w:type="spellStart"/>
      <w:r w:rsidRPr="008B220C">
        <w:rPr>
          <w:rFonts w:eastAsia="Calibri" w:cs="Times New Roman"/>
          <w:sz w:val="26"/>
          <w:szCs w:val="26"/>
          <w:lang w:val="uk-UA"/>
        </w:rPr>
        <w:t>хоспісної</w:t>
      </w:r>
      <w:proofErr w:type="spellEnd"/>
      <w:r w:rsidRPr="008B220C">
        <w:rPr>
          <w:rFonts w:eastAsia="Calibri" w:cs="Times New Roman"/>
          <w:sz w:val="26"/>
          <w:szCs w:val="26"/>
          <w:lang w:val="uk-UA"/>
        </w:rPr>
        <w:t xml:space="preserve"> медицини для хворих на туберкульоз; </w:t>
      </w:r>
    </w:p>
    <w:p w:rsidR="004E2027" w:rsidRPr="008B220C" w:rsidRDefault="004E2027" w:rsidP="00E5018E">
      <w:pPr>
        <w:numPr>
          <w:ilvl w:val="0"/>
          <w:numId w:val="1"/>
        </w:numPr>
        <w:spacing w:line="216" w:lineRule="auto"/>
        <w:ind w:left="142" w:hanging="142"/>
        <w:jc w:val="both"/>
        <w:rPr>
          <w:rFonts w:eastAsia="Calibri" w:cs="Times New Roman"/>
          <w:bCs/>
          <w:sz w:val="26"/>
          <w:szCs w:val="26"/>
          <w:lang w:val="uk-UA"/>
        </w:rPr>
      </w:pPr>
      <w:r w:rsidRPr="008B220C">
        <w:rPr>
          <w:rFonts w:eastAsia="Calibri" w:cs="Times New Roman"/>
          <w:bCs/>
          <w:sz w:val="26"/>
          <w:szCs w:val="26"/>
          <w:lang w:val="uk-UA"/>
        </w:rPr>
        <w:t xml:space="preserve">посилення системи моніторингу та оцінки заходів виконання Програми, роботи закладів охорони здоров’я на центральному та регіональному рівнях шляхом підготовки та навчання відповідних фахівців, удосконалення звітно-облікових форм та індикаторів ефективності роботи, забезпечення функціонування електронного реєстру хворих на туберкульоз; </w:t>
      </w:r>
    </w:p>
    <w:p w:rsidR="004E2027" w:rsidRPr="008B220C" w:rsidRDefault="004E2027" w:rsidP="00E5018E">
      <w:pPr>
        <w:numPr>
          <w:ilvl w:val="0"/>
          <w:numId w:val="1"/>
        </w:numPr>
        <w:spacing w:line="216" w:lineRule="auto"/>
        <w:ind w:left="142" w:hanging="142"/>
        <w:jc w:val="both"/>
        <w:rPr>
          <w:rFonts w:eastAsia="Calibri" w:cs="Times New Roman"/>
          <w:bCs/>
          <w:sz w:val="26"/>
          <w:szCs w:val="26"/>
          <w:lang w:val="uk-UA"/>
        </w:rPr>
      </w:pPr>
      <w:r w:rsidRPr="008B220C">
        <w:rPr>
          <w:rFonts w:eastAsia="Calibri" w:cs="Times New Roman"/>
          <w:bCs/>
          <w:sz w:val="26"/>
          <w:szCs w:val="26"/>
          <w:lang w:val="uk-UA"/>
        </w:rPr>
        <w:t>посилення спроможності керівної та менеджерської ланки Програми шляхом навчання, обміну досвідом на національному та міжнародному рівнях;</w:t>
      </w:r>
    </w:p>
    <w:p w:rsidR="004E2027" w:rsidRPr="008B220C" w:rsidRDefault="004E2027" w:rsidP="00E5018E">
      <w:pPr>
        <w:numPr>
          <w:ilvl w:val="0"/>
          <w:numId w:val="1"/>
        </w:numPr>
        <w:spacing w:line="216" w:lineRule="auto"/>
        <w:ind w:left="142" w:hanging="142"/>
        <w:jc w:val="both"/>
        <w:rPr>
          <w:rFonts w:eastAsia="Calibri" w:cs="Times New Roman"/>
          <w:bCs/>
          <w:sz w:val="26"/>
          <w:szCs w:val="26"/>
          <w:lang w:val="uk-UA"/>
        </w:rPr>
      </w:pPr>
      <w:r w:rsidRPr="008B220C">
        <w:rPr>
          <w:rFonts w:eastAsia="Calibri" w:cs="Times New Roman"/>
          <w:bCs/>
          <w:sz w:val="26"/>
          <w:szCs w:val="26"/>
          <w:lang w:val="uk-UA"/>
        </w:rPr>
        <w:lastRenderedPageBreak/>
        <w:t>підвищення обізнаності населення шляхом розробки та впровадження ефективної та обґрунтованої інформаційно-освітньої стратегії;</w:t>
      </w:r>
    </w:p>
    <w:p w:rsidR="004E2027" w:rsidRPr="008B220C" w:rsidRDefault="004E2027" w:rsidP="00E5018E">
      <w:pPr>
        <w:numPr>
          <w:ilvl w:val="0"/>
          <w:numId w:val="1"/>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 xml:space="preserve">розширення можливостей пацієнтів та спільнот шляхом залучення їх до прийняття рішень на обласному, міському та районному рівнях, налагодження системи отримання зворотного зв’язку від </w:t>
      </w:r>
      <w:proofErr w:type="spellStart"/>
      <w:r w:rsidRPr="008B220C">
        <w:rPr>
          <w:rFonts w:eastAsia="Calibri" w:cs="Times New Roman"/>
          <w:sz w:val="26"/>
          <w:szCs w:val="26"/>
          <w:lang w:val="uk-UA"/>
        </w:rPr>
        <w:t>отримувачів</w:t>
      </w:r>
      <w:proofErr w:type="spellEnd"/>
      <w:r w:rsidRPr="008B220C">
        <w:rPr>
          <w:rFonts w:eastAsia="Calibri" w:cs="Times New Roman"/>
          <w:sz w:val="26"/>
          <w:szCs w:val="26"/>
          <w:lang w:val="uk-UA"/>
        </w:rPr>
        <w:t xml:space="preserve"> медичних послуг, впровадження системи громадського контролю за виконанням вимог законодавства у сфері боротьби з туберкульозом.</w:t>
      </w:r>
    </w:p>
    <w:p w:rsidR="009F142B" w:rsidRPr="008B220C" w:rsidRDefault="009F142B" w:rsidP="00E5018E">
      <w:pPr>
        <w:spacing w:line="216" w:lineRule="auto"/>
        <w:jc w:val="both"/>
        <w:rPr>
          <w:rFonts w:cs="Times New Roman"/>
          <w:sz w:val="26"/>
          <w:szCs w:val="26"/>
          <w:lang w:val="uk-UA"/>
        </w:rPr>
      </w:pPr>
    </w:p>
    <w:p w:rsidR="004E2027" w:rsidRPr="008B220C" w:rsidRDefault="004E2027" w:rsidP="00E5018E">
      <w:pPr>
        <w:spacing w:line="216" w:lineRule="auto"/>
        <w:jc w:val="center"/>
        <w:rPr>
          <w:rFonts w:cs="Times New Roman"/>
          <w:sz w:val="26"/>
          <w:szCs w:val="26"/>
          <w:lang w:val="uk-UA"/>
        </w:rPr>
      </w:pPr>
      <w:r w:rsidRPr="008B220C">
        <w:rPr>
          <w:rFonts w:cs="Times New Roman"/>
          <w:b/>
          <w:sz w:val="26"/>
          <w:szCs w:val="26"/>
          <w:lang w:val="uk-UA"/>
        </w:rPr>
        <w:t>Завдання і заходи Програми</w:t>
      </w:r>
      <w:r w:rsidR="00045A40" w:rsidRPr="008B220C">
        <w:rPr>
          <w:rFonts w:cs="Times New Roman"/>
          <w:b/>
          <w:sz w:val="26"/>
          <w:szCs w:val="26"/>
          <w:lang w:val="uk-UA"/>
        </w:rPr>
        <w:t xml:space="preserve"> </w:t>
      </w:r>
      <w:r w:rsidR="00045A40" w:rsidRPr="008B220C">
        <w:rPr>
          <w:rFonts w:cs="Times New Roman"/>
          <w:sz w:val="26"/>
          <w:szCs w:val="26"/>
          <w:lang w:val="uk-UA"/>
        </w:rPr>
        <w:t>наведені у додатку 1.</w:t>
      </w:r>
    </w:p>
    <w:p w:rsidR="004C1877" w:rsidRPr="008B220C" w:rsidRDefault="004C1877" w:rsidP="00E5018E">
      <w:pPr>
        <w:spacing w:line="216" w:lineRule="auto"/>
        <w:jc w:val="center"/>
        <w:rPr>
          <w:rFonts w:cs="Times New Roman"/>
          <w:b/>
          <w:sz w:val="26"/>
          <w:szCs w:val="26"/>
          <w:lang w:val="uk-UA"/>
        </w:rPr>
      </w:pPr>
    </w:p>
    <w:p w:rsidR="004C1877" w:rsidRPr="008B220C" w:rsidRDefault="004C1877" w:rsidP="00E5018E">
      <w:pPr>
        <w:shd w:val="clear" w:color="auto" w:fill="FFFFFF"/>
        <w:spacing w:line="216" w:lineRule="auto"/>
        <w:ind w:left="10" w:right="230" w:firstLine="710"/>
        <w:jc w:val="center"/>
        <w:rPr>
          <w:rFonts w:eastAsia="Calibri" w:cs="Times New Roman"/>
          <w:b/>
          <w:color w:val="000000"/>
          <w:sz w:val="26"/>
          <w:szCs w:val="26"/>
          <w:lang w:val="uk-UA"/>
        </w:rPr>
      </w:pPr>
      <w:r w:rsidRPr="008B220C">
        <w:rPr>
          <w:rFonts w:eastAsia="Calibri" w:cs="Times New Roman"/>
          <w:b/>
          <w:color w:val="000000"/>
          <w:sz w:val="26"/>
          <w:szCs w:val="26"/>
          <w:lang w:val="uk-UA"/>
        </w:rPr>
        <w:t>Очікувані результати виконання Програми</w:t>
      </w:r>
      <w:r w:rsidR="00646F6A" w:rsidRPr="008B220C">
        <w:rPr>
          <w:rFonts w:cs="Times New Roman"/>
          <w:sz w:val="26"/>
          <w:szCs w:val="26"/>
          <w:lang w:val="uk-UA"/>
        </w:rPr>
        <w:t xml:space="preserve"> наведені у додатку 2.</w:t>
      </w:r>
    </w:p>
    <w:p w:rsidR="004C1877" w:rsidRPr="008B220C" w:rsidRDefault="004C1877" w:rsidP="00E5018E">
      <w:pPr>
        <w:shd w:val="clear" w:color="auto" w:fill="FFFFFF"/>
        <w:spacing w:line="216" w:lineRule="auto"/>
        <w:ind w:left="10" w:right="230" w:firstLine="710"/>
        <w:jc w:val="center"/>
        <w:rPr>
          <w:rFonts w:eastAsia="Calibri" w:cs="Times New Roman"/>
          <w:b/>
          <w:color w:val="000000"/>
          <w:sz w:val="26"/>
          <w:szCs w:val="26"/>
          <w:lang w:val="uk-UA"/>
        </w:rPr>
      </w:pPr>
    </w:p>
    <w:p w:rsidR="004C1877" w:rsidRPr="008B220C" w:rsidRDefault="004C1877" w:rsidP="00E5018E">
      <w:pPr>
        <w:autoSpaceDE w:val="0"/>
        <w:autoSpaceDN w:val="0"/>
        <w:adjustRightInd w:val="0"/>
        <w:spacing w:line="216" w:lineRule="auto"/>
        <w:ind w:firstLine="720"/>
        <w:jc w:val="both"/>
        <w:rPr>
          <w:rFonts w:eastAsia="Calibri" w:cs="Times New Roman"/>
          <w:sz w:val="26"/>
          <w:szCs w:val="26"/>
          <w:lang w:val="uk-UA"/>
        </w:rPr>
      </w:pPr>
      <w:r w:rsidRPr="008B220C">
        <w:rPr>
          <w:rFonts w:eastAsia="Calibri" w:cs="Times New Roman"/>
          <w:sz w:val="26"/>
          <w:szCs w:val="26"/>
          <w:lang w:val="uk-UA"/>
        </w:rPr>
        <w:t xml:space="preserve">Реалізація Програми також дасть змогу: </w:t>
      </w:r>
    </w:p>
    <w:p w:rsidR="004C1877" w:rsidRPr="008B220C" w:rsidRDefault="004C1877" w:rsidP="00E5018E">
      <w:pPr>
        <w:numPr>
          <w:ilvl w:val="0"/>
          <w:numId w:val="2"/>
        </w:numPr>
        <w:autoSpaceDE w:val="0"/>
        <w:autoSpaceDN w:val="0"/>
        <w:adjustRightInd w:val="0"/>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 xml:space="preserve">зупинити ріст відсотку хворих на </w:t>
      </w:r>
      <w:proofErr w:type="spellStart"/>
      <w:r w:rsidRPr="008B220C">
        <w:rPr>
          <w:rFonts w:eastAsia="Calibri" w:cs="Times New Roman"/>
          <w:sz w:val="26"/>
          <w:szCs w:val="26"/>
          <w:lang w:val="uk-UA"/>
        </w:rPr>
        <w:t>мультирезистентний</w:t>
      </w:r>
      <w:proofErr w:type="spellEnd"/>
      <w:r w:rsidRPr="008B220C">
        <w:rPr>
          <w:rFonts w:eastAsia="Calibri" w:cs="Times New Roman"/>
          <w:sz w:val="26"/>
          <w:szCs w:val="26"/>
          <w:lang w:val="uk-UA"/>
        </w:rPr>
        <w:t xml:space="preserve"> туберкульоз серед нових випадків захворювання;</w:t>
      </w:r>
    </w:p>
    <w:p w:rsidR="004C1877" w:rsidRPr="008B220C" w:rsidRDefault="004C1877" w:rsidP="00E5018E">
      <w:pPr>
        <w:numPr>
          <w:ilvl w:val="0"/>
          <w:numId w:val="2"/>
        </w:numPr>
        <w:autoSpaceDE w:val="0"/>
        <w:autoSpaceDN w:val="0"/>
        <w:adjustRightInd w:val="0"/>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забезпечити виліковування до 70% хворих з новими випадками туберкульозу;</w:t>
      </w:r>
    </w:p>
    <w:p w:rsidR="004C1877" w:rsidRPr="008B220C" w:rsidRDefault="004C1877" w:rsidP="00E5018E">
      <w:pPr>
        <w:numPr>
          <w:ilvl w:val="0"/>
          <w:numId w:val="2"/>
        </w:numPr>
        <w:autoSpaceDE w:val="0"/>
        <w:autoSpaceDN w:val="0"/>
        <w:adjustRightInd w:val="0"/>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 xml:space="preserve">забезпечити всіх хворих з новими випадками </w:t>
      </w:r>
      <w:proofErr w:type="spellStart"/>
      <w:r w:rsidRPr="008B220C">
        <w:rPr>
          <w:rFonts w:eastAsia="Calibri" w:cs="Times New Roman"/>
          <w:sz w:val="26"/>
          <w:szCs w:val="26"/>
          <w:lang w:val="uk-UA"/>
        </w:rPr>
        <w:t>мультирезистентного</w:t>
      </w:r>
      <w:proofErr w:type="spellEnd"/>
      <w:r w:rsidRPr="008B220C">
        <w:rPr>
          <w:rFonts w:eastAsia="Calibri" w:cs="Times New Roman"/>
          <w:sz w:val="26"/>
          <w:szCs w:val="26"/>
          <w:lang w:val="uk-UA"/>
        </w:rPr>
        <w:t xml:space="preserve"> туберкульозу повноцінним лікуванням;</w:t>
      </w:r>
    </w:p>
    <w:p w:rsidR="004C1877" w:rsidRPr="008B220C" w:rsidRDefault="004C1877" w:rsidP="00E5018E">
      <w:pPr>
        <w:numPr>
          <w:ilvl w:val="0"/>
          <w:numId w:val="2"/>
        </w:numPr>
        <w:autoSpaceDE w:val="0"/>
        <w:autoSpaceDN w:val="0"/>
        <w:adjustRightInd w:val="0"/>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покращити доступ до лікування уразливих груп населення шляхом впровадження ДОТС стратегії в усіх регіонах Полтавської області;</w:t>
      </w:r>
    </w:p>
    <w:p w:rsidR="004C1877" w:rsidRPr="008B220C" w:rsidRDefault="004C1877" w:rsidP="00E5018E">
      <w:pPr>
        <w:numPr>
          <w:ilvl w:val="0"/>
          <w:numId w:val="2"/>
        </w:numPr>
        <w:autoSpaceDE w:val="0"/>
        <w:autoSpaceDN w:val="0"/>
        <w:adjustRightInd w:val="0"/>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знизити кількість хворих з повторним лікуванням та зменшити відсоток хворих, що відірвались від лікування;</w:t>
      </w:r>
    </w:p>
    <w:p w:rsidR="004C1877" w:rsidRPr="008B220C" w:rsidRDefault="004C1877" w:rsidP="00E5018E">
      <w:pPr>
        <w:numPr>
          <w:ilvl w:val="0"/>
          <w:numId w:val="2"/>
        </w:numPr>
        <w:autoSpaceDE w:val="0"/>
        <w:autoSpaceDN w:val="0"/>
        <w:adjustRightInd w:val="0"/>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 xml:space="preserve">стабілізувати рівень смертності від ко-інфекції ТБ/ВІЛ шляхом  забезпечення </w:t>
      </w:r>
      <w:proofErr w:type="spellStart"/>
      <w:r w:rsidRPr="008B220C">
        <w:rPr>
          <w:rFonts w:eastAsia="Calibri" w:cs="Times New Roman"/>
          <w:sz w:val="26"/>
          <w:szCs w:val="26"/>
          <w:lang w:val="uk-UA"/>
        </w:rPr>
        <w:t>мультидисциплінарного</w:t>
      </w:r>
      <w:proofErr w:type="spellEnd"/>
      <w:r w:rsidRPr="008B220C">
        <w:rPr>
          <w:rFonts w:eastAsia="Calibri" w:cs="Times New Roman"/>
          <w:sz w:val="26"/>
          <w:szCs w:val="26"/>
          <w:lang w:val="uk-UA"/>
        </w:rPr>
        <w:t xml:space="preserve"> підходу надання медичної допомоги пацієнтів з туберкульозом та  ВІЛ-інфекцією; </w:t>
      </w:r>
    </w:p>
    <w:p w:rsidR="004C1877" w:rsidRPr="008B220C" w:rsidRDefault="004C1877" w:rsidP="00E5018E">
      <w:pPr>
        <w:numPr>
          <w:ilvl w:val="0"/>
          <w:numId w:val="2"/>
        </w:numPr>
        <w:autoSpaceDE w:val="0"/>
        <w:autoSpaceDN w:val="0"/>
        <w:adjustRightInd w:val="0"/>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забезпечити якісне надання медичних послуг на рівні первинної медичної ланки, у тому числі покращити виявлення туберкульозу за допомогою мікроскопії мазка мокротиння;</w:t>
      </w:r>
    </w:p>
    <w:p w:rsidR="004C1877" w:rsidRPr="008B220C" w:rsidRDefault="004C1877" w:rsidP="00E5018E">
      <w:pPr>
        <w:numPr>
          <w:ilvl w:val="0"/>
          <w:numId w:val="2"/>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зміцнити матеріально-технічне і кадрове забезпечення протитуберкульозної служби;</w:t>
      </w:r>
    </w:p>
    <w:p w:rsidR="004C1877" w:rsidRPr="008B220C" w:rsidRDefault="004C1877" w:rsidP="00E5018E">
      <w:pPr>
        <w:numPr>
          <w:ilvl w:val="0"/>
          <w:numId w:val="2"/>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інтегрувати діяльність протитуберкульозної служби із діяльністю закладів  первинної та вторинної ланок охорони здоров’я, санітарно-епідеміологічної служби, покращити взаємодію з зацікавленими сторонами, зокрема органами виконавчої влади (службами внутрішніх справ, виконання покарань, міграції, соціального захисту, ветеринарної служби тощо) щодо профілактики і виявлення туберкульозу;</w:t>
      </w:r>
    </w:p>
    <w:p w:rsidR="004C1877" w:rsidRPr="008B220C" w:rsidRDefault="004C1877" w:rsidP="00E5018E">
      <w:pPr>
        <w:numPr>
          <w:ilvl w:val="0"/>
          <w:numId w:val="2"/>
        </w:numPr>
        <w:spacing w:line="216" w:lineRule="auto"/>
        <w:ind w:left="142" w:hanging="142"/>
        <w:jc w:val="both"/>
        <w:rPr>
          <w:rFonts w:eastAsia="Calibri" w:cs="Times New Roman"/>
          <w:sz w:val="26"/>
          <w:szCs w:val="26"/>
          <w:lang w:val="uk-UA"/>
        </w:rPr>
      </w:pPr>
      <w:r w:rsidRPr="008B220C">
        <w:rPr>
          <w:rFonts w:eastAsia="Calibri" w:cs="Times New Roman"/>
          <w:sz w:val="26"/>
          <w:szCs w:val="26"/>
          <w:lang w:val="uk-UA"/>
        </w:rPr>
        <w:t>втілити державну систему моніторингу заходів протидії туберкульозу та забезпечити  роботу державного електронного реєстру хворих на туберкульоз;</w:t>
      </w:r>
    </w:p>
    <w:p w:rsidR="004C1877" w:rsidRPr="008B220C" w:rsidRDefault="004C1877" w:rsidP="00E5018E">
      <w:pPr>
        <w:numPr>
          <w:ilvl w:val="0"/>
          <w:numId w:val="2"/>
        </w:numPr>
        <w:spacing w:line="216" w:lineRule="auto"/>
        <w:ind w:left="142" w:hanging="142"/>
        <w:jc w:val="both"/>
        <w:rPr>
          <w:rFonts w:cs="Times New Roman"/>
          <w:sz w:val="26"/>
          <w:szCs w:val="26"/>
          <w:lang w:val="uk-UA"/>
        </w:rPr>
      </w:pPr>
      <w:r w:rsidRPr="008B220C">
        <w:rPr>
          <w:rFonts w:eastAsia="Calibri" w:cs="Times New Roman"/>
          <w:sz w:val="26"/>
          <w:szCs w:val="26"/>
          <w:lang w:val="uk-UA"/>
        </w:rPr>
        <w:t>здійснити соціальну мобілізацію щодо боротьби зі стигмою та дискримінацією, що пов’язані з туберкульозом та ВІЛ-інфекцією, налагодити  систему інформування про стан та успіхи боротьби з туберкульозом.</w:t>
      </w:r>
    </w:p>
    <w:p w:rsidR="00E5018E" w:rsidRPr="002A479A" w:rsidRDefault="00E5018E" w:rsidP="00E5018E">
      <w:pPr>
        <w:spacing w:line="216" w:lineRule="auto"/>
        <w:rPr>
          <w:sz w:val="20"/>
          <w:szCs w:val="20"/>
          <w:lang w:val="uk-UA"/>
        </w:rPr>
      </w:pPr>
    </w:p>
    <w:p w:rsidR="006006B7" w:rsidRPr="002A479A" w:rsidRDefault="006006B7" w:rsidP="00E5018E">
      <w:pPr>
        <w:spacing w:line="216" w:lineRule="auto"/>
        <w:rPr>
          <w:sz w:val="20"/>
          <w:szCs w:val="20"/>
          <w:lang w:val="uk-UA"/>
        </w:rPr>
        <w:sectPr w:rsidR="006006B7" w:rsidRPr="002A479A" w:rsidSect="006006B7">
          <w:footerReference w:type="default" r:id="rId8"/>
          <w:pgSz w:w="11906" w:h="16838" w:code="9"/>
          <w:pgMar w:top="1134" w:right="425" w:bottom="1134" w:left="851" w:header="284" w:footer="284" w:gutter="0"/>
          <w:cols w:space="708"/>
          <w:docGrid w:linePitch="381"/>
        </w:sectPr>
      </w:pPr>
    </w:p>
    <w:p w:rsidR="0037241B" w:rsidRPr="002A479A" w:rsidRDefault="0037241B" w:rsidP="00E5018E">
      <w:pPr>
        <w:spacing w:line="216" w:lineRule="auto"/>
        <w:rPr>
          <w:sz w:val="20"/>
          <w:szCs w:val="20"/>
          <w:lang w:val="uk-UA"/>
        </w:rPr>
      </w:pPr>
    </w:p>
    <w:tbl>
      <w:tblPr>
        <w:tblW w:w="15310" w:type="dxa"/>
        <w:tblInd w:w="-176" w:type="dxa"/>
        <w:tblLayout w:type="fixed"/>
        <w:tblCellMar>
          <w:left w:w="0" w:type="dxa"/>
          <w:right w:w="0" w:type="dxa"/>
        </w:tblCellMar>
        <w:tblLook w:val="04A0"/>
      </w:tblPr>
      <w:tblGrid>
        <w:gridCol w:w="1438"/>
        <w:gridCol w:w="94"/>
        <w:gridCol w:w="1798"/>
        <w:gridCol w:w="431"/>
        <w:gridCol w:w="467"/>
        <w:gridCol w:w="431"/>
        <w:gridCol w:w="467"/>
        <w:gridCol w:w="431"/>
        <w:gridCol w:w="1696"/>
        <w:gridCol w:w="989"/>
        <w:gridCol w:w="1134"/>
        <w:gridCol w:w="260"/>
        <w:gridCol w:w="733"/>
        <w:gridCol w:w="991"/>
        <w:gridCol w:w="851"/>
        <w:gridCol w:w="142"/>
        <w:gridCol w:w="567"/>
        <w:gridCol w:w="141"/>
        <w:gridCol w:w="104"/>
        <w:gridCol w:w="606"/>
        <w:gridCol w:w="103"/>
        <w:gridCol w:w="464"/>
        <w:gridCol w:w="142"/>
        <w:gridCol w:w="103"/>
        <w:gridCol w:w="727"/>
      </w:tblGrid>
      <w:tr w:rsidR="0037241B" w:rsidRPr="002A479A" w:rsidTr="00E23015">
        <w:trPr>
          <w:trHeight w:val="1095"/>
        </w:trPr>
        <w:tc>
          <w:tcPr>
            <w:tcW w:w="1532" w:type="dxa"/>
            <w:gridSpan w:val="2"/>
            <w:tcBorders>
              <w:top w:val="nil"/>
              <w:left w:val="nil"/>
              <w:bottom w:val="nil"/>
              <w:right w:val="nil"/>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p>
        </w:tc>
        <w:tc>
          <w:tcPr>
            <w:tcW w:w="1798" w:type="dxa"/>
            <w:tcBorders>
              <w:top w:val="nil"/>
              <w:left w:val="nil"/>
              <w:bottom w:val="nil"/>
              <w:right w:val="nil"/>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c>
          <w:tcPr>
            <w:tcW w:w="431" w:type="dxa"/>
            <w:tcBorders>
              <w:top w:val="nil"/>
              <w:left w:val="nil"/>
              <w:bottom w:val="nil"/>
              <w:right w:val="nil"/>
            </w:tcBorders>
            <w:shd w:val="clear" w:color="auto" w:fill="auto"/>
            <w:noWrap/>
            <w:hideMark/>
          </w:tcPr>
          <w:p w:rsidR="0037241B" w:rsidRPr="002A479A" w:rsidRDefault="0037241B" w:rsidP="006006B7">
            <w:pPr>
              <w:widowControl w:val="0"/>
              <w:spacing w:line="216" w:lineRule="auto"/>
              <w:jc w:val="center"/>
              <w:rPr>
                <w:rFonts w:ascii="Arial" w:eastAsia="Times New Roman" w:hAnsi="Arial" w:cs="Arial"/>
                <w:sz w:val="20"/>
                <w:szCs w:val="20"/>
                <w:lang w:val="uk-UA" w:eastAsia="ru-RU"/>
              </w:rPr>
            </w:pPr>
          </w:p>
        </w:tc>
        <w:tc>
          <w:tcPr>
            <w:tcW w:w="467" w:type="dxa"/>
            <w:tcBorders>
              <w:top w:val="nil"/>
              <w:left w:val="nil"/>
              <w:bottom w:val="nil"/>
              <w:right w:val="nil"/>
            </w:tcBorders>
            <w:shd w:val="clear" w:color="auto" w:fill="auto"/>
            <w:noWrap/>
            <w:hideMark/>
          </w:tcPr>
          <w:p w:rsidR="0037241B" w:rsidRPr="002A479A" w:rsidRDefault="0037241B" w:rsidP="006006B7">
            <w:pPr>
              <w:widowControl w:val="0"/>
              <w:spacing w:line="216" w:lineRule="auto"/>
              <w:jc w:val="center"/>
              <w:rPr>
                <w:rFonts w:ascii="Arial" w:eastAsia="Times New Roman" w:hAnsi="Arial" w:cs="Arial"/>
                <w:sz w:val="20"/>
                <w:szCs w:val="20"/>
                <w:lang w:val="uk-UA" w:eastAsia="ru-RU"/>
              </w:rPr>
            </w:pPr>
          </w:p>
        </w:tc>
        <w:tc>
          <w:tcPr>
            <w:tcW w:w="431" w:type="dxa"/>
            <w:tcBorders>
              <w:top w:val="nil"/>
              <w:left w:val="nil"/>
              <w:bottom w:val="nil"/>
              <w:right w:val="nil"/>
            </w:tcBorders>
            <w:shd w:val="clear" w:color="auto" w:fill="auto"/>
            <w:noWrap/>
            <w:hideMark/>
          </w:tcPr>
          <w:p w:rsidR="0037241B" w:rsidRPr="002A479A" w:rsidRDefault="0037241B" w:rsidP="006006B7">
            <w:pPr>
              <w:widowControl w:val="0"/>
              <w:spacing w:line="216" w:lineRule="auto"/>
              <w:jc w:val="center"/>
              <w:rPr>
                <w:rFonts w:ascii="Arial" w:eastAsia="Times New Roman" w:hAnsi="Arial" w:cs="Arial"/>
                <w:sz w:val="20"/>
                <w:szCs w:val="20"/>
                <w:lang w:val="uk-UA" w:eastAsia="ru-RU"/>
              </w:rPr>
            </w:pPr>
          </w:p>
        </w:tc>
        <w:tc>
          <w:tcPr>
            <w:tcW w:w="467" w:type="dxa"/>
            <w:tcBorders>
              <w:top w:val="nil"/>
              <w:left w:val="nil"/>
              <w:bottom w:val="nil"/>
              <w:right w:val="nil"/>
            </w:tcBorders>
            <w:shd w:val="clear" w:color="auto" w:fill="auto"/>
            <w:noWrap/>
            <w:hideMark/>
          </w:tcPr>
          <w:p w:rsidR="0037241B" w:rsidRPr="002A479A" w:rsidRDefault="0037241B" w:rsidP="006006B7">
            <w:pPr>
              <w:widowControl w:val="0"/>
              <w:spacing w:line="216" w:lineRule="auto"/>
              <w:jc w:val="center"/>
              <w:rPr>
                <w:rFonts w:ascii="Arial" w:eastAsia="Times New Roman" w:hAnsi="Arial" w:cs="Arial"/>
                <w:sz w:val="20"/>
                <w:szCs w:val="20"/>
                <w:lang w:val="uk-UA" w:eastAsia="ru-RU"/>
              </w:rPr>
            </w:pPr>
          </w:p>
        </w:tc>
        <w:tc>
          <w:tcPr>
            <w:tcW w:w="431" w:type="dxa"/>
            <w:tcBorders>
              <w:top w:val="nil"/>
              <w:left w:val="nil"/>
              <w:bottom w:val="nil"/>
              <w:right w:val="nil"/>
            </w:tcBorders>
            <w:shd w:val="clear" w:color="auto" w:fill="auto"/>
            <w:noWrap/>
            <w:hideMark/>
          </w:tcPr>
          <w:p w:rsidR="0037241B" w:rsidRPr="002A479A" w:rsidRDefault="0037241B" w:rsidP="006006B7">
            <w:pPr>
              <w:widowControl w:val="0"/>
              <w:spacing w:line="216" w:lineRule="auto"/>
              <w:jc w:val="center"/>
              <w:rPr>
                <w:rFonts w:ascii="Arial" w:eastAsia="Times New Roman" w:hAnsi="Arial" w:cs="Arial"/>
                <w:sz w:val="20"/>
                <w:szCs w:val="20"/>
                <w:lang w:val="uk-UA" w:eastAsia="ru-RU"/>
              </w:rPr>
            </w:pPr>
          </w:p>
        </w:tc>
        <w:tc>
          <w:tcPr>
            <w:tcW w:w="1696" w:type="dxa"/>
            <w:tcBorders>
              <w:top w:val="nil"/>
              <w:left w:val="nil"/>
              <w:bottom w:val="nil"/>
              <w:right w:val="nil"/>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c>
          <w:tcPr>
            <w:tcW w:w="2383" w:type="dxa"/>
            <w:gridSpan w:val="3"/>
            <w:tcBorders>
              <w:top w:val="nil"/>
              <w:left w:val="nil"/>
              <w:bottom w:val="nil"/>
              <w:right w:val="nil"/>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c>
          <w:tcPr>
            <w:tcW w:w="5674" w:type="dxa"/>
            <w:gridSpan w:val="13"/>
            <w:tcBorders>
              <w:top w:val="nil"/>
              <w:left w:val="nil"/>
              <w:bottom w:val="nil"/>
              <w:right w:val="nil"/>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Додаток 1 </w:t>
            </w:r>
            <w:r w:rsidRPr="002A479A">
              <w:rPr>
                <w:rFonts w:eastAsia="Times New Roman" w:cs="Times New Roman"/>
                <w:sz w:val="20"/>
                <w:szCs w:val="20"/>
                <w:lang w:val="uk-UA" w:eastAsia="ru-RU"/>
              </w:rPr>
              <w:br/>
              <w:t>до Обласної  цільової соціальної програми протидії захворюванню на туберкульоз на  2013 - 2016 роки                                                             в Полтавській області</w:t>
            </w:r>
          </w:p>
        </w:tc>
      </w:tr>
      <w:tr w:rsidR="0037241B" w:rsidRPr="002A479A" w:rsidTr="00E23015">
        <w:trPr>
          <w:trHeight w:val="420"/>
        </w:trPr>
        <w:tc>
          <w:tcPr>
            <w:tcW w:w="15310" w:type="dxa"/>
            <w:gridSpan w:val="25"/>
            <w:tcBorders>
              <w:top w:val="nil"/>
              <w:left w:val="nil"/>
              <w:bottom w:val="nil"/>
              <w:right w:val="nil"/>
            </w:tcBorders>
            <w:shd w:val="clear" w:color="auto" w:fill="auto"/>
            <w:noWrap/>
            <w:vAlign w:val="center"/>
            <w:hideMark/>
          </w:tcPr>
          <w:p w:rsidR="0037241B" w:rsidRPr="002A479A" w:rsidRDefault="0037241B"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ЗАВДАННЯ І ЗАХОДИ</w:t>
            </w:r>
          </w:p>
        </w:tc>
      </w:tr>
      <w:tr w:rsidR="0037241B" w:rsidRPr="002A479A" w:rsidTr="00E23015">
        <w:trPr>
          <w:trHeight w:val="540"/>
        </w:trPr>
        <w:tc>
          <w:tcPr>
            <w:tcW w:w="15310" w:type="dxa"/>
            <w:gridSpan w:val="25"/>
            <w:tcBorders>
              <w:top w:val="nil"/>
              <w:left w:val="nil"/>
              <w:bottom w:val="single" w:sz="4" w:space="0" w:color="auto"/>
              <w:right w:val="nil"/>
            </w:tcBorders>
            <w:shd w:val="clear" w:color="auto" w:fill="auto"/>
            <w:noWrap/>
            <w:hideMark/>
          </w:tcPr>
          <w:p w:rsidR="0037241B" w:rsidRPr="002A479A" w:rsidRDefault="0037241B"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Обласної  цільової соціальної програми протидії захворюванню на туберкульоз на 2013 - 2016 роки в Полтавській області</w:t>
            </w:r>
          </w:p>
        </w:tc>
      </w:tr>
      <w:tr w:rsidR="0037241B" w:rsidRPr="002A479A" w:rsidTr="00E23015">
        <w:trPr>
          <w:trHeight w:val="615"/>
        </w:trPr>
        <w:tc>
          <w:tcPr>
            <w:tcW w:w="1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241B" w:rsidRPr="002A479A" w:rsidRDefault="0037241B" w:rsidP="006006B7">
            <w:pPr>
              <w:widowControl w:val="0"/>
              <w:jc w:val="center"/>
              <w:rPr>
                <w:rFonts w:eastAsia="Times New Roman" w:cs="Times New Roman"/>
                <w:sz w:val="20"/>
                <w:szCs w:val="20"/>
                <w:lang w:val="uk-UA" w:eastAsia="ru-RU"/>
              </w:rPr>
            </w:pPr>
            <w:r w:rsidRPr="002A479A">
              <w:rPr>
                <w:rFonts w:eastAsia="Times New Roman" w:cs="Times New Roman"/>
                <w:sz w:val="20"/>
                <w:szCs w:val="20"/>
                <w:lang w:val="uk-UA" w:eastAsia="ru-RU"/>
              </w:rPr>
              <w:t>Найменування завдання</w:t>
            </w:r>
          </w:p>
        </w:tc>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Найменування показника</w:t>
            </w:r>
          </w:p>
        </w:tc>
        <w:tc>
          <w:tcPr>
            <w:tcW w:w="2227" w:type="dxa"/>
            <w:gridSpan w:val="5"/>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Значення показника</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Найменування заходу</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Відповідальні за виконання</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Термін виконання</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Джерела фінансування (державний, місцевий бюджети, інші)</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xml:space="preserve">Прогнозований обсяг фінансових ресурсів для виконання завдань </w:t>
            </w:r>
            <w:proofErr w:type="spellStart"/>
            <w:r w:rsidRPr="002A479A">
              <w:rPr>
                <w:rFonts w:eastAsia="Times New Roman" w:cs="Times New Roman"/>
                <w:sz w:val="20"/>
                <w:szCs w:val="20"/>
                <w:lang w:val="uk-UA" w:eastAsia="ru-RU"/>
              </w:rPr>
              <w:t>тис.грн</w:t>
            </w:r>
            <w:proofErr w:type="spellEnd"/>
          </w:p>
        </w:tc>
        <w:tc>
          <w:tcPr>
            <w:tcW w:w="2957" w:type="dxa"/>
            <w:gridSpan w:val="9"/>
            <w:tcBorders>
              <w:top w:val="single" w:sz="4" w:space="0" w:color="auto"/>
              <w:left w:val="nil"/>
              <w:bottom w:val="single" w:sz="4" w:space="0" w:color="auto"/>
              <w:right w:val="single" w:sz="4" w:space="0" w:color="auto"/>
            </w:tcBorders>
            <w:shd w:val="clear" w:color="auto" w:fill="auto"/>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У тому числі за роками</w:t>
            </w:r>
          </w:p>
        </w:tc>
      </w:tr>
      <w:tr w:rsidR="0037241B" w:rsidRPr="002A479A" w:rsidTr="00E23015">
        <w:trPr>
          <w:trHeight w:val="405"/>
        </w:trPr>
        <w:tc>
          <w:tcPr>
            <w:tcW w:w="1438"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rPr>
                <w:rFonts w:eastAsia="Times New Roman" w:cs="Times New Roman"/>
                <w:sz w:val="20"/>
                <w:szCs w:val="20"/>
                <w:lang w:val="uk-UA" w:eastAsia="ru-RU"/>
              </w:rPr>
            </w:pP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Усього</w:t>
            </w:r>
          </w:p>
        </w:tc>
        <w:tc>
          <w:tcPr>
            <w:tcW w:w="1796" w:type="dxa"/>
            <w:gridSpan w:val="4"/>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708"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2013</w:t>
            </w:r>
          </w:p>
        </w:tc>
        <w:tc>
          <w:tcPr>
            <w:tcW w:w="710"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2014</w:t>
            </w:r>
          </w:p>
        </w:tc>
        <w:tc>
          <w:tcPr>
            <w:tcW w:w="709"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2015</w:t>
            </w:r>
          </w:p>
        </w:tc>
        <w:tc>
          <w:tcPr>
            <w:tcW w:w="830"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2016</w:t>
            </w:r>
          </w:p>
        </w:tc>
      </w:tr>
      <w:tr w:rsidR="0037241B" w:rsidRPr="002A479A" w:rsidTr="0069099C">
        <w:trPr>
          <w:trHeight w:val="990"/>
        </w:trPr>
        <w:tc>
          <w:tcPr>
            <w:tcW w:w="1438"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rPr>
                <w:rFonts w:eastAsia="Times New Roman" w:cs="Times New Roman"/>
                <w:sz w:val="20"/>
                <w:szCs w:val="20"/>
                <w:lang w:val="uk-UA" w:eastAsia="ru-RU"/>
              </w:rPr>
            </w:pP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tcBorders>
              <w:top w:val="single" w:sz="4" w:space="0" w:color="auto"/>
              <w:left w:val="nil"/>
              <w:bottom w:val="single" w:sz="4" w:space="0" w:color="auto"/>
              <w:right w:val="single" w:sz="4" w:space="0" w:color="auto"/>
            </w:tcBorders>
            <w:shd w:val="clear" w:color="auto" w:fill="auto"/>
            <w:textDirection w:val="btL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2013</w:t>
            </w:r>
          </w:p>
        </w:tc>
        <w:tc>
          <w:tcPr>
            <w:tcW w:w="431" w:type="dxa"/>
            <w:tcBorders>
              <w:top w:val="single" w:sz="4" w:space="0" w:color="auto"/>
              <w:left w:val="nil"/>
              <w:bottom w:val="single" w:sz="4" w:space="0" w:color="auto"/>
              <w:right w:val="single" w:sz="4" w:space="0" w:color="auto"/>
            </w:tcBorders>
            <w:shd w:val="clear" w:color="auto" w:fill="auto"/>
            <w:textDirection w:val="btL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2014</w:t>
            </w:r>
          </w:p>
        </w:tc>
        <w:tc>
          <w:tcPr>
            <w:tcW w:w="467" w:type="dxa"/>
            <w:tcBorders>
              <w:top w:val="single" w:sz="4" w:space="0" w:color="auto"/>
              <w:left w:val="nil"/>
              <w:bottom w:val="single" w:sz="4" w:space="0" w:color="auto"/>
              <w:right w:val="single" w:sz="4" w:space="0" w:color="auto"/>
            </w:tcBorders>
            <w:shd w:val="clear" w:color="auto" w:fill="auto"/>
            <w:textDirection w:val="btL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2015</w:t>
            </w:r>
          </w:p>
        </w:tc>
        <w:tc>
          <w:tcPr>
            <w:tcW w:w="431" w:type="dxa"/>
            <w:tcBorders>
              <w:top w:val="single" w:sz="4" w:space="0" w:color="auto"/>
              <w:left w:val="nil"/>
              <w:bottom w:val="single" w:sz="4" w:space="0" w:color="auto"/>
              <w:right w:val="single" w:sz="4" w:space="0" w:color="auto"/>
            </w:tcBorders>
            <w:shd w:val="clear" w:color="auto" w:fill="auto"/>
            <w:textDirection w:val="btLr"/>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2016</w:t>
            </w: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710"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709" w:type="dxa"/>
            <w:gridSpan w:val="3"/>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830"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r>
      <w:tr w:rsidR="0037241B" w:rsidRPr="002A479A" w:rsidTr="0069099C">
        <w:trPr>
          <w:trHeight w:val="2066"/>
        </w:trPr>
        <w:tc>
          <w:tcPr>
            <w:tcW w:w="1438" w:type="dxa"/>
            <w:vMerge w:val="restart"/>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xml:space="preserve">1. Удосконалення системи охорони здоров’я в галузі протидії захворюванню на туберкульоз, у тому числі </w:t>
            </w:r>
            <w:proofErr w:type="spellStart"/>
            <w:r w:rsidRPr="002A479A">
              <w:rPr>
                <w:rFonts w:eastAsia="Times New Roman" w:cs="Times New Roman"/>
                <w:sz w:val="20"/>
                <w:szCs w:val="20"/>
                <w:lang w:val="uk-UA" w:eastAsia="ru-RU"/>
              </w:rPr>
              <w:t>хіміорезистентному</w:t>
            </w:r>
            <w:proofErr w:type="spellEnd"/>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20"/>
                <w:szCs w:val="20"/>
                <w:lang w:val="uk-UA" w:eastAsia="ru-RU"/>
              </w:rPr>
            </w:pPr>
            <w:r w:rsidRPr="002A479A">
              <w:rPr>
                <w:rFonts w:eastAsia="Times New Roman" w:cs="Times New Roman"/>
                <w:color w:val="000000"/>
                <w:sz w:val="20"/>
                <w:szCs w:val="20"/>
                <w:lang w:val="uk-UA" w:eastAsia="ru-RU"/>
              </w:rPr>
              <w:t>Наявність розроблених районних/міських програм з протидії захворюванню на туберкульоз</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2A479A">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1. Розробити та затвердити районні/міські цільові соціальні програми протидії захворюванню на туберкульоз у 2013 – 2016 роках із врахуванням особливостей епідемічної ситуації району/міста, передбачивши виділення цільових асигнувань на їх реалізацію </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Райдержадміністрації, міськвиконкоми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2013 рік</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1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r>
      <w:tr w:rsidR="0037241B" w:rsidRPr="002A479A" w:rsidTr="0069099C">
        <w:trPr>
          <w:trHeight w:val="2535"/>
        </w:trPr>
        <w:tc>
          <w:tcPr>
            <w:tcW w:w="1438" w:type="dxa"/>
            <w:vMerge/>
            <w:tcBorders>
              <w:left w:val="single" w:sz="4" w:space="0" w:color="auto"/>
              <w:right w:val="single" w:sz="4" w:space="0" w:color="auto"/>
            </w:tcBorders>
            <w:vAlign w:val="center"/>
            <w:hideMark/>
          </w:tcPr>
          <w:p w:rsidR="0037241B" w:rsidRPr="002A479A" w:rsidRDefault="0037241B" w:rsidP="006006B7">
            <w:pPr>
              <w:widowControl w:val="0"/>
              <w:rPr>
                <w:rFonts w:eastAsia="Times New Roman" w:cs="Times New Roman"/>
                <w:sz w:val="20"/>
                <w:szCs w:val="20"/>
                <w:lang w:val="uk-UA" w:eastAsia="ru-RU"/>
              </w:rPr>
            </w:pP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засідань (</w:t>
            </w:r>
            <w:proofErr w:type="spellStart"/>
            <w:r w:rsidRPr="002A479A">
              <w:rPr>
                <w:rFonts w:eastAsia="Times New Roman" w:cs="Times New Roman"/>
                <w:sz w:val="20"/>
                <w:szCs w:val="20"/>
                <w:lang w:val="uk-UA" w:eastAsia="ru-RU"/>
              </w:rPr>
              <w:t>абс</w:t>
            </w:r>
            <w:proofErr w:type="spellEnd"/>
            <w:r w:rsidRPr="002A479A">
              <w:rPr>
                <w:rFonts w:eastAsia="Times New Roman" w:cs="Times New Roman"/>
                <w:sz w:val="20"/>
                <w:szCs w:val="20"/>
                <w:lang w:val="uk-UA" w:eastAsia="ru-RU"/>
              </w:rPr>
              <w:t>.)</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2. Заслухати на постійній комісії обласної ради з питань охорони здоров’я, засіданнях обласної Координаційної ради з питань протидії туберкульозу, ВІЛ-інфекції/</w:t>
            </w:r>
            <w:proofErr w:type="spellStart"/>
            <w:r w:rsidRPr="002A479A">
              <w:rPr>
                <w:rFonts w:eastAsia="Times New Roman" w:cs="Times New Roman"/>
                <w:sz w:val="20"/>
                <w:szCs w:val="20"/>
                <w:lang w:val="uk-UA" w:eastAsia="ru-RU"/>
              </w:rPr>
              <w:t>СНІДу</w:t>
            </w:r>
            <w:proofErr w:type="spellEnd"/>
            <w:r w:rsidRPr="002A479A">
              <w:rPr>
                <w:rFonts w:eastAsia="Times New Roman" w:cs="Times New Roman"/>
                <w:sz w:val="20"/>
                <w:szCs w:val="20"/>
                <w:lang w:val="uk-UA" w:eastAsia="ru-RU"/>
              </w:rPr>
              <w:t xml:space="preserve"> та боротьби з наркоманією, підсумкових колегіях Департаменту охорони здоров’я облдержадміністрації хід виконання Програми</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координатор з напрямку "туберкульоз", координатор з напрямку "ВІЛ-інфекція/СНІД"</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xml:space="preserve">Щорічно </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1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r>
      <w:tr w:rsidR="0037241B" w:rsidRPr="002A479A" w:rsidTr="0069099C">
        <w:trPr>
          <w:trHeight w:val="267"/>
        </w:trPr>
        <w:tc>
          <w:tcPr>
            <w:tcW w:w="1438" w:type="dxa"/>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20"/>
                <w:szCs w:val="20"/>
                <w:lang w:val="uk-UA" w:eastAsia="ru-RU"/>
              </w:rPr>
            </w:pPr>
            <w:r w:rsidRPr="002A479A">
              <w:rPr>
                <w:rFonts w:eastAsia="Times New Roman" w:cs="Times New Roman"/>
                <w:color w:val="000000"/>
                <w:sz w:val="20"/>
                <w:szCs w:val="20"/>
                <w:lang w:val="uk-UA" w:eastAsia="ru-RU"/>
              </w:rPr>
              <w:t xml:space="preserve">Проведено аналіз використання ресурсів протитуберкульозної служби та затверджено план оптимізації </w:t>
            </w:r>
            <w:r w:rsidRPr="002A479A">
              <w:rPr>
                <w:rFonts w:eastAsia="Times New Roman" w:cs="Times New Roman"/>
                <w:color w:val="000000"/>
                <w:sz w:val="20"/>
                <w:szCs w:val="20"/>
                <w:lang w:val="uk-UA" w:eastAsia="ru-RU"/>
              </w:rPr>
              <w:lastRenderedPageBreak/>
              <w:t>протитуберкульозної служби відповідно до Національної стратегії реформування системи надання медичної допомоги</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lastRenderedPageBreak/>
              <w:t>3</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3. Забезпечити завершення реструктуризації фтизіатричної служби області (з метою раціонального використання ліжкового фонду, розподілу потоку хворих згідно з положеннями </w:t>
            </w:r>
            <w:r w:rsidRPr="002A479A">
              <w:rPr>
                <w:rFonts w:eastAsia="Times New Roman" w:cs="Times New Roman"/>
                <w:sz w:val="20"/>
                <w:szCs w:val="20"/>
                <w:lang w:val="uk-UA" w:eastAsia="ru-RU"/>
              </w:rPr>
              <w:lastRenderedPageBreak/>
              <w:t xml:space="preserve">щодо  відділень примусового лікування хворих на </w:t>
            </w:r>
            <w:proofErr w:type="spellStart"/>
            <w:r w:rsidRPr="002A479A">
              <w:rPr>
                <w:rFonts w:eastAsia="Times New Roman" w:cs="Times New Roman"/>
                <w:sz w:val="20"/>
                <w:szCs w:val="20"/>
                <w:lang w:val="uk-UA" w:eastAsia="ru-RU"/>
              </w:rPr>
              <w:t>хіміорезистентний</w:t>
            </w:r>
            <w:proofErr w:type="spellEnd"/>
            <w:r w:rsidRPr="002A479A">
              <w:rPr>
                <w:rFonts w:eastAsia="Times New Roman" w:cs="Times New Roman"/>
                <w:sz w:val="20"/>
                <w:szCs w:val="20"/>
                <w:lang w:val="uk-UA" w:eastAsia="ru-RU"/>
              </w:rPr>
              <w:t xml:space="preserve"> туберкульоз та паліативне лікування хворих)</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lastRenderedPageBreak/>
              <w:t>Департамент охорони здоров’я облдержадміністрації</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2013 рік, 2014 рік, 2016 рік</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1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r>
      <w:tr w:rsidR="0037241B" w:rsidRPr="002A479A" w:rsidTr="0069099C">
        <w:trPr>
          <w:trHeight w:val="1359"/>
        </w:trPr>
        <w:tc>
          <w:tcPr>
            <w:tcW w:w="1438" w:type="dxa"/>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lastRenderedPageBreak/>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Розробити та затвердити наказ з впровадження алгоритму раннього виявлення захворювання легенів.</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4. Розробити та впровадити механізм інтеграції фтизіатричної служби області з загально-лікарняною мережею щодо раннього виявлення захворювання легенів</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Після розробленого механізму інтеграції МОЗ України</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1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b/>
                <w:bCs/>
                <w:i/>
                <w:iCs/>
                <w:sz w:val="20"/>
                <w:szCs w:val="20"/>
                <w:lang w:val="uk-UA" w:eastAsia="ru-RU"/>
              </w:rPr>
            </w:pPr>
            <w:r w:rsidRPr="002A479A">
              <w:rPr>
                <w:rFonts w:eastAsia="Times New Roman" w:cs="Times New Roman"/>
                <w:b/>
                <w:bCs/>
                <w:i/>
                <w:iCs/>
                <w:sz w:val="20"/>
                <w:szCs w:val="20"/>
                <w:lang w:val="uk-UA" w:eastAsia="ru-RU"/>
              </w:rPr>
              <w:t> </w:t>
            </w:r>
          </w:p>
        </w:tc>
      </w:tr>
      <w:tr w:rsidR="0037241B" w:rsidRPr="002A479A" w:rsidTr="0069099C">
        <w:trPr>
          <w:trHeight w:val="1197"/>
        </w:trPr>
        <w:tc>
          <w:tcPr>
            <w:tcW w:w="1438" w:type="dxa"/>
            <w:vMerge w:val="restart"/>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vMerge w:val="restart"/>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Охоплення навчанням лікарів-фтизіатрів, районних фтизіатрів та лікарів Управління Державної пенітенціарної служби України в Полтавській області (%)</w:t>
            </w:r>
          </w:p>
        </w:tc>
        <w:tc>
          <w:tcPr>
            <w:tcW w:w="431" w:type="dxa"/>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85</w:t>
            </w:r>
          </w:p>
        </w:tc>
        <w:tc>
          <w:tcPr>
            <w:tcW w:w="431" w:type="dxa"/>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67" w:type="dxa"/>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431" w:type="dxa"/>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2685" w:type="dxa"/>
            <w:gridSpan w:val="2"/>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5. Підвищити кваліфікацію лікарів – фтизіатрів шляхом навчання, обміну досвідом на обласному та національному рівнях</w:t>
            </w:r>
          </w:p>
        </w:tc>
        <w:tc>
          <w:tcPr>
            <w:tcW w:w="1134" w:type="dxa"/>
            <w:vMerge w:val="restart"/>
            <w:tcBorders>
              <w:top w:val="single" w:sz="4" w:space="0" w:color="auto"/>
              <w:left w:val="nil"/>
              <w:right w:val="single" w:sz="4" w:space="0" w:color="auto"/>
            </w:tcBorders>
            <w:shd w:val="clear" w:color="auto" w:fill="auto"/>
            <w:hideMark/>
          </w:tcPr>
          <w:p w:rsidR="0037241B" w:rsidRPr="0069099C" w:rsidRDefault="0037241B" w:rsidP="0069099C">
            <w:pPr>
              <w:widowControl w:val="0"/>
              <w:spacing w:line="216" w:lineRule="auto"/>
              <w:rPr>
                <w:rFonts w:eastAsia="Times New Roman" w:cs="Times New Roman"/>
                <w:sz w:val="18"/>
                <w:szCs w:val="18"/>
                <w:lang w:val="uk-UA" w:eastAsia="ru-RU"/>
              </w:rPr>
            </w:pPr>
            <w:r w:rsidRPr="0069099C">
              <w:rPr>
                <w:rFonts w:eastAsia="Times New Roman" w:cs="Times New Roman"/>
                <w:sz w:val="18"/>
                <w:szCs w:val="18"/>
                <w:lang w:val="uk-UA" w:eastAsia="ru-RU"/>
              </w:rPr>
              <w:t>Департамент охорони здоров’я облдержадміністрації</w:t>
            </w:r>
            <w:r w:rsidR="00E32EB2" w:rsidRPr="0069099C">
              <w:rPr>
                <w:rFonts w:eastAsia="Times New Roman" w:cs="Times New Roman"/>
                <w:sz w:val="18"/>
                <w:szCs w:val="18"/>
                <w:lang w:val="uk-UA" w:eastAsia="ru-RU"/>
              </w:rPr>
              <w:t xml:space="preserve"> сумісно з Благодійним фондом «Розвиток України», проектом </w:t>
            </w:r>
            <w:r w:rsidR="0069099C" w:rsidRPr="0069099C">
              <w:rPr>
                <w:sz w:val="18"/>
                <w:szCs w:val="18"/>
                <w:lang w:val="uk-UA"/>
              </w:rPr>
              <w:t>Центр</w:t>
            </w:r>
            <w:r w:rsidR="0069099C">
              <w:rPr>
                <w:sz w:val="18"/>
                <w:szCs w:val="18"/>
                <w:lang w:val="uk-UA"/>
              </w:rPr>
              <w:t>у</w:t>
            </w:r>
            <w:r w:rsidR="0069099C" w:rsidRPr="0069099C">
              <w:rPr>
                <w:sz w:val="18"/>
                <w:szCs w:val="18"/>
                <w:lang w:val="uk-UA"/>
              </w:rPr>
              <w:t xml:space="preserve"> контролю та профілактики захворювань Департаменту охорони здоров’я США (</w:t>
            </w:r>
            <w:r w:rsidR="0069099C">
              <w:rPr>
                <w:sz w:val="18"/>
                <w:szCs w:val="18"/>
                <w:lang w:val="uk-UA"/>
              </w:rPr>
              <w:t xml:space="preserve">далі - </w:t>
            </w:r>
            <w:r w:rsidR="0069099C" w:rsidRPr="0069099C">
              <w:rPr>
                <w:sz w:val="18"/>
                <w:szCs w:val="18"/>
                <w:lang w:val="uk-UA"/>
              </w:rPr>
              <w:t>CDC)</w:t>
            </w:r>
            <w:r w:rsidRPr="0069099C">
              <w:rPr>
                <w:rFonts w:eastAsia="Times New Roman" w:cs="Times New Roman"/>
                <w:sz w:val="18"/>
                <w:szCs w:val="18"/>
                <w:lang w:val="uk-UA" w:eastAsia="ru-RU"/>
              </w:rPr>
              <w:t>, Управління Державної пенітенціарної служби України в Полтавській області, райдержадміністрації, міськвиконкоми</w:t>
            </w:r>
          </w:p>
        </w:tc>
        <w:tc>
          <w:tcPr>
            <w:tcW w:w="993" w:type="dxa"/>
            <w:gridSpan w:val="2"/>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13,4</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2,9</w:t>
            </w:r>
          </w:p>
        </w:tc>
        <w:tc>
          <w:tcPr>
            <w:tcW w:w="71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3,2</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3,5</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3,8</w:t>
            </w:r>
          </w:p>
        </w:tc>
      </w:tr>
      <w:tr w:rsidR="0037241B" w:rsidRPr="002A479A" w:rsidTr="0069099C">
        <w:trPr>
          <w:trHeight w:val="2800"/>
        </w:trPr>
        <w:tc>
          <w:tcPr>
            <w:tcW w:w="1438" w:type="dxa"/>
            <w:vMerge/>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p>
        </w:tc>
        <w:tc>
          <w:tcPr>
            <w:tcW w:w="1892" w:type="dxa"/>
            <w:gridSpan w:val="2"/>
            <w:vMerge/>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467" w:type="dxa"/>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431" w:type="dxa"/>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467" w:type="dxa"/>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431" w:type="dxa"/>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2685" w:type="dxa"/>
            <w:gridSpan w:val="2"/>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Інші джерела фінансування</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60,0</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60,0</w:t>
            </w:r>
          </w:p>
        </w:tc>
        <w:tc>
          <w:tcPr>
            <w:tcW w:w="71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r>
      <w:tr w:rsidR="0037241B" w:rsidRPr="002A479A" w:rsidTr="0069099C">
        <w:trPr>
          <w:trHeight w:val="2402"/>
        </w:trPr>
        <w:tc>
          <w:tcPr>
            <w:tcW w:w="1438" w:type="dxa"/>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lastRenderedPageBreak/>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Забезпечити соціальними працівниками кабінети контрольованого лікування.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6. Укомплектувати протитуберкульозні заклади лікарями фтизіатрами, бактеріологами, середнім медичним персоналом та соціальними працівниками кабінетів контрольованого лікування та внести зміни в штатні розписи протитуберкульозних закладів та посадові інструкції фахівців відповідно до нових клінічних стандартів</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Департамент охорони здоров’я облдержадміністрації, райдержадміністрації, міськвиконкоми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Після внесення змін до штатних нормативів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71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r>
      <w:tr w:rsidR="0037241B" w:rsidRPr="002A479A" w:rsidTr="0069099C">
        <w:trPr>
          <w:trHeight w:val="699"/>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Створено умови лікування хворих на туберкульоз відповідно Стандартам інфекційного контролю</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7. Продовжити будівництво стаціонарного комплексу Полтавського обласного клінічного протитуберкульозного диспансеру</w:t>
            </w:r>
          </w:p>
        </w:tc>
        <w:tc>
          <w:tcPr>
            <w:tcW w:w="1134" w:type="dxa"/>
            <w:vMerge w:val="restart"/>
            <w:tcBorders>
              <w:top w:val="single" w:sz="4" w:space="0" w:color="auto"/>
              <w:left w:val="single" w:sz="4" w:space="0" w:color="auto"/>
              <w:bottom w:val="single" w:sz="4" w:space="0" w:color="auto"/>
              <w:right w:val="nil"/>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Управління капітального будівництва облдержадміністрації</w:t>
            </w:r>
          </w:p>
        </w:tc>
        <w:tc>
          <w:tcPr>
            <w:tcW w:w="993" w:type="dxa"/>
            <w:gridSpan w:val="2"/>
            <w:vMerge w:val="restart"/>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Протягом 2013-2014 років</w:t>
            </w:r>
          </w:p>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sz w:val="18"/>
                <w:szCs w:val="18"/>
                <w:lang w:val="uk-UA" w:eastAsia="ru-RU"/>
              </w:rPr>
              <w:t> </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Державний бюджет</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видатків державного бюджету</w:t>
            </w:r>
          </w:p>
        </w:tc>
      </w:tr>
      <w:tr w:rsidR="0037241B" w:rsidRPr="002A479A" w:rsidTr="00E23015">
        <w:trPr>
          <w:trHeight w:val="575"/>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nil"/>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3950" w:type="dxa"/>
            <w:gridSpan w:val="11"/>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видатків обласного бюджету</w:t>
            </w:r>
          </w:p>
        </w:tc>
      </w:tr>
      <w:tr w:rsidR="0037241B" w:rsidRPr="002A479A" w:rsidTr="00E23015">
        <w:trPr>
          <w:trHeight w:val="256"/>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nil"/>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3950" w:type="dxa"/>
            <w:gridSpan w:val="11"/>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r>
      <w:tr w:rsidR="0037241B" w:rsidRPr="002A479A" w:rsidTr="0069099C">
        <w:trPr>
          <w:trHeight w:val="1680"/>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регіонів, у яких створені відділення для надання паліативної допомоги</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8. Створити відділення для паліативного лікування хворих на туберкульоз</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Управління капітального будівництва облдержадміністрації</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2014 року</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видатків обласного бюджету</w:t>
            </w:r>
          </w:p>
        </w:tc>
      </w:tr>
      <w:tr w:rsidR="0037241B" w:rsidRPr="002A479A" w:rsidTr="0069099C">
        <w:trPr>
          <w:trHeight w:val="3255"/>
        </w:trPr>
        <w:tc>
          <w:tcPr>
            <w:tcW w:w="1438" w:type="dxa"/>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сайтів замісної підтримувальної терапії на базі протитуберкульозних закладів</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9. Створити на базі поліклінічного відділення Полтавського ОТД, стаціонарного відділення Кременчуцького ОТД та підтримувати роботу створеного на базі стаціонарного відділення Полтавського ОТД сайтів замісної підтримувальної терапії для лікування хворих з подвійним діагнозом ТБ та </w:t>
            </w:r>
            <w:proofErr w:type="spellStart"/>
            <w:r w:rsidRPr="002A479A">
              <w:rPr>
                <w:rFonts w:eastAsia="Times New Roman" w:cs="Times New Roman"/>
                <w:sz w:val="20"/>
                <w:szCs w:val="20"/>
                <w:lang w:val="uk-UA" w:eastAsia="ru-RU"/>
              </w:rPr>
              <w:t>наркозалежність</w:t>
            </w:r>
            <w:proofErr w:type="spellEnd"/>
            <w:r w:rsidRPr="002A479A">
              <w:rPr>
                <w:rFonts w:eastAsia="Times New Roman" w:cs="Times New Roman"/>
                <w:sz w:val="20"/>
                <w:szCs w:val="20"/>
                <w:lang w:val="uk-UA" w:eastAsia="ru-RU"/>
              </w:rPr>
              <w:t xml:space="preserve"> </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9099C">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r w:rsidR="0069099C">
              <w:rPr>
                <w:rFonts w:eastAsia="Times New Roman" w:cs="Times New Roman"/>
                <w:sz w:val="18"/>
                <w:szCs w:val="18"/>
                <w:lang w:val="uk-UA" w:eastAsia="ru-RU"/>
              </w:rPr>
              <w:t xml:space="preserve"> сумісно з</w:t>
            </w:r>
            <w:r w:rsidRPr="002A479A">
              <w:rPr>
                <w:rFonts w:eastAsia="Times New Roman" w:cs="Times New Roman"/>
                <w:sz w:val="18"/>
                <w:szCs w:val="18"/>
                <w:lang w:val="uk-UA" w:eastAsia="ru-RU"/>
              </w:rPr>
              <w:t xml:space="preserve"> Б</w:t>
            </w:r>
            <w:r w:rsidR="0069099C">
              <w:rPr>
                <w:rFonts w:eastAsia="Times New Roman" w:cs="Times New Roman"/>
                <w:sz w:val="18"/>
                <w:szCs w:val="18"/>
                <w:lang w:val="uk-UA" w:eastAsia="ru-RU"/>
              </w:rPr>
              <w:t>лагодійною асоціацією</w:t>
            </w:r>
            <w:r w:rsidRPr="002A479A">
              <w:rPr>
                <w:rFonts w:eastAsia="Times New Roman" w:cs="Times New Roman"/>
                <w:sz w:val="18"/>
                <w:szCs w:val="18"/>
                <w:lang w:val="uk-UA" w:eastAsia="ru-RU"/>
              </w:rPr>
              <w:t xml:space="preserve"> "Світло надії"</w:t>
            </w:r>
            <w:r w:rsidR="0069099C">
              <w:rPr>
                <w:rFonts w:eastAsia="Times New Roman" w:cs="Times New Roman"/>
                <w:sz w:val="18"/>
                <w:szCs w:val="18"/>
                <w:lang w:val="uk-UA" w:eastAsia="ru-RU"/>
              </w:rPr>
              <w:t xml:space="preserve"> (далі – Асоціація)</w:t>
            </w:r>
            <w:r w:rsidRPr="002A479A">
              <w:rPr>
                <w:rFonts w:eastAsia="Times New Roman" w:cs="Times New Roman"/>
                <w:sz w:val="18"/>
                <w:szCs w:val="18"/>
                <w:lang w:val="uk-UA" w:eastAsia="ru-RU"/>
              </w:rPr>
              <w:t>, М</w:t>
            </w:r>
            <w:r w:rsidR="0069099C">
              <w:rPr>
                <w:rFonts w:eastAsia="Times New Roman" w:cs="Times New Roman"/>
                <w:sz w:val="18"/>
                <w:szCs w:val="18"/>
                <w:lang w:val="uk-UA" w:eastAsia="ru-RU"/>
              </w:rPr>
              <w:t>іжнародним благодійним фондом</w:t>
            </w:r>
            <w:r w:rsidRPr="002A479A">
              <w:rPr>
                <w:rFonts w:eastAsia="Times New Roman" w:cs="Times New Roman"/>
                <w:sz w:val="18"/>
                <w:szCs w:val="18"/>
                <w:lang w:val="uk-UA" w:eastAsia="ru-RU"/>
              </w:rPr>
              <w:t xml:space="preserve"> Міжнародний Альянс з ВІЛ/СНІД в Україні </w:t>
            </w:r>
            <w:r w:rsidR="0069099C">
              <w:rPr>
                <w:rFonts w:eastAsia="Times New Roman" w:cs="Times New Roman"/>
                <w:sz w:val="18"/>
                <w:szCs w:val="18"/>
                <w:lang w:val="uk-UA" w:eastAsia="ru-RU"/>
              </w:rPr>
              <w:t>(далі – Альянс)</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xml:space="preserve">БА "Світло надії". МБФ Міжнародний Альянс з ВІЛ/СНІД в Україні </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рамках фінансування проектів</w:t>
            </w:r>
            <w:r w:rsidRPr="002A479A">
              <w:rPr>
                <w:rFonts w:eastAsia="Times New Roman" w:cs="Times New Roman"/>
                <w:sz w:val="18"/>
                <w:szCs w:val="18"/>
                <w:lang w:val="uk-UA" w:eastAsia="ru-RU"/>
              </w:rPr>
              <w:t xml:space="preserve"> БА "Світло надії"</w:t>
            </w:r>
          </w:p>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r>
      <w:tr w:rsidR="0037241B" w:rsidRPr="002A479A" w:rsidTr="0069099C">
        <w:trPr>
          <w:trHeight w:val="2685"/>
        </w:trPr>
        <w:tc>
          <w:tcPr>
            <w:tcW w:w="1438" w:type="dxa"/>
            <w:tcBorders>
              <w:top w:val="single" w:sz="4" w:space="0" w:color="auto"/>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lastRenderedPageBreak/>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відділень для лікування хворих на туберкульоз щодо яких судом ухвалено рішення про обов’язкову госпіталізацію та взяття під варту</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10. Створити та забезпечити  функціонування відділень/палат для лікування хворих на туберкульоз щодо яких судом ухвалено рішення про обов’язкову госпіталізацію та взяття під варту </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Управління капітального будівництва облдержадміністрації, Управління Міністерства внутрішніх справ України в Полтавській області</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До кінця 2015 року</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видатків обласного бюджету</w:t>
            </w:r>
          </w:p>
        </w:tc>
      </w:tr>
      <w:tr w:rsidR="0037241B" w:rsidRPr="002A479A" w:rsidTr="0069099C">
        <w:trPr>
          <w:trHeight w:val="1543"/>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Результати проведеного  контролю якості  мікроскопії мокротиння (% розходжень з контролем)</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11. Покращити якість мікробіологічної діагностики туберкульозу шляхом впровадження системи контролю якості лабораторної діагностики туберкульозу</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райдержадміністрації, міськвиконкоми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147,9</w:t>
            </w:r>
          </w:p>
        </w:tc>
        <w:tc>
          <w:tcPr>
            <w:tcW w:w="812" w:type="dxa"/>
            <w:gridSpan w:val="3"/>
            <w:tcBorders>
              <w:top w:val="single" w:sz="4" w:space="0" w:color="auto"/>
              <w:left w:val="nil"/>
              <w:bottom w:val="single" w:sz="4" w:space="0" w:color="auto"/>
              <w:right w:val="single" w:sz="4" w:space="0" w:color="auto"/>
            </w:tcBorders>
            <w:shd w:val="clear" w:color="auto" w:fill="auto"/>
            <w:noWrap/>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32,1</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35,1</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38,5</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42,1</w:t>
            </w:r>
          </w:p>
        </w:tc>
      </w:tr>
      <w:tr w:rsidR="0037241B" w:rsidRPr="002A479A" w:rsidTr="0069099C">
        <w:trPr>
          <w:trHeight w:val="1830"/>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лабораторій І рівня, які включені в систему контролю якості лабораторної діагностики туберкульозу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12. Забезпечити впровадження системи контролю якості для лабораторій І рівня з метою ефективної діагностики випадків туберкульозу, в т.ч. шляхом</w:t>
            </w:r>
            <w:r w:rsidRPr="002A479A">
              <w:rPr>
                <w:rFonts w:eastAsia="Times New Roman" w:cs="Times New Roman"/>
                <w:sz w:val="20"/>
                <w:szCs w:val="20"/>
                <w:lang w:val="uk-UA" w:eastAsia="ru-RU"/>
              </w:rPr>
              <w:br w:type="page"/>
              <w:t>- закупівлі витратних матеріалів</w:t>
            </w:r>
            <w:r w:rsidRPr="002A479A">
              <w:rPr>
                <w:rFonts w:eastAsia="Times New Roman" w:cs="Times New Roman"/>
                <w:sz w:val="20"/>
                <w:szCs w:val="20"/>
                <w:lang w:val="uk-UA" w:eastAsia="ru-RU"/>
              </w:rPr>
              <w:br w:type="page"/>
              <w:t>- транспортування зразків</w:t>
            </w:r>
            <w:r w:rsidRPr="002A479A">
              <w:rPr>
                <w:rFonts w:eastAsia="Times New Roman" w:cs="Times New Roman"/>
                <w:sz w:val="20"/>
                <w:szCs w:val="20"/>
                <w:lang w:val="uk-UA" w:eastAsia="ru-RU"/>
              </w:rPr>
              <w:br w:type="page"/>
              <w:t>- забезпечення формами звітності</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райдержадміністрації, міськвиконкоми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98,1</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21,3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23,3</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25,5</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28,0</w:t>
            </w:r>
          </w:p>
        </w:tc>
      </w:tr>
      <w:tr w:rsidR="0037241B" w:rsidRPr="002A479A" w:rsidTr="00D220E5">
        <w:trPr>
          <w:trHeight w:val="1248"/>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лабораторій ІІ рівня, які включені в систему контролю якості лабораторної діагностики туберкульозу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60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13. Впровадити контроль якості для лабораторій ІІ рівня з метою ефективної діагностики випадків туберкульозу</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12,0</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2,6</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3,1</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3,4</w:t>
            </w:r>
          </w:p>
        </w:tc>
      </w:tr>
      <w:tr w:rsidR="0037241B" w:rsidRPr="002A479A" w:rsidTr="00D220E5">
        <w:trPr>
          <w:trHeight w:val="1535"/>
        </w:trPr>
        <w:tc>
          <w:tcPr>
            <w:tcW w:w="1438" w:type="dxa"/>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лабораторій ІІ рівня, які забезпечують якісне обслуговування обладнання згідно з діючими стандартами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50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75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14. Забезпечити обслуговування обладнання в лабораторіях з бактеріологічної діагностики туберкульозу згідно з діючими стандартами</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99,9</w:t>
            </w:r>
          </w:p>
        </w:tc>
        <w:tc>
          <w:tcPr>
            <w:tcW w:w="812" w:type="dxa"/>
            <w:gridSpan w:val="3"/>
            <w:tcBorders>
              <w:top w:val="single" w:sz="4" w:space="0" w:color="auto"/>
              <w:left w:val="nil"/>
              <w:bottom w:val="single" w:sz="4" w:space="0" w:color="auto"/>
              <w:right w:val="single" w:sz="4" w:space="0" w:color="auto"/>
            </w:tcBorders>
            <w:shd w:val="clear" w:color="auto" w:fill="auto"/>
            <w:noWrap/>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23,0</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26,5</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30,4</w:t>
            </w:r>
          </w:p>
        </w:tc>
      </w:tr>
      <w:tr w:rsidR="0037241B" w:rsidRPr="002A479A" w:rsidTr="00D220E5">
        <w:trPr>
          <w:trHeight w:val="821"/>
        </w:trPr>
        <w:tc>
          <w:tcPr>
            <w:tcW w:w="1438" w:type="dxa"/>
            <w:tcBorders>
              <w:left w:val="single" w:sz="4" w:space="0" w:color="auto"/>
              <w:bottom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20"/>
                <w:szCs w:val="20"/>
                <w:lang w:val="uk-UA" w:eastAsia="ru-RU"/>
              </w:rPr>
            </w:pPr>
            <w:r w:rsidRPr="002A479A">
              <w:rPr>
                <w:rFonts w:eastAsia="Times New Roman" w:cs="Times New Roman"/>
                <w:color w:val="000000"/>
                <w:sz w:val="20"/>
                <w:szCs w:val="20"/>
                <w:lang w:val="uk-UA" w:eastAsia="ru-RU"/>
              </w:rPr>
              <w:t xml:space="preserve">Кількість лабораторій І-ІІІ рівня, які відповідають діючим </w:t>
            </w:r>
            <w:r w:rsidRPr="002A479A">
              <w:rPr>
                <w:rFonts w:eastAsia="Times New Roman" w:cs="Times New Roman"/>
                <w:color w:val="000000"/>
                <w:sz w:val="20"/>
                <w:szCs w:val="20"/>
                <w:lang w:val="uk-UA" w:eastAsia="ru-RU"/>
              </w:rPr>
              <w:lastRenderedPageBreak/>
              <w:t>стандартам (%)</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color w:val="000000"/>
                <w:sz w:val="20"/>
                <w:szCs w:val="20"/>
                <w:lang w:val="uk-UA" w:eastAsia="ru-RU"/>
              </w:rPr>
            </w:pPr>
            <w:r w:rsidRPr="002A479A">
              <w:rPr>
                <w:rFonts w:eastAsia="Times New Roman" w:cs="Times New Roman"/>
                <w:color w:val="000000"/>
                <w:sz w:val="20"/>
                <w:szCs w:val="20"/>
                <w:lang w:val="uk-UA" w:eastAsia="ru-RU"/>
              </w:rPr>
              <w:lastRenderedPageBreak/>
              <w:t>100</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color w:val="000000"/>
                <w:sz w:val="20"/>
                <w:szCs w:val="20"/>
                <w:lang w:val="uk-UA" w:eastAsia="ru-RU"/>
              </w:rPr>
            </w:pPr>
            <w:r w:rsidRPr="002A479A">
              <w:rPr>
                <w:rFonts w:eastAsia="Times New Roman" w:cs="Times New Roman"/>
                <w:color w:val="000000"/>
                <w:sz w:val="20"/>
                <w:szCs w:val="20"/>
                <w:lang w:val="uk-UA" w:eastAsia="ru-RU"/>
              </w:rPr>
              <w:t>70</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color w:val="000000"/>
                <w:sz w:val="20"/>
                <w:szCs w:val="20"/>
                <w:lang w:val="uk-UA" w:eastAsia="ru-RU"/>
              </w:rPr>
            </w:pPr>
            <w:r w:rsidRPr="002A479A">
              <w:rPr>
                <w:rFonts w:eastAsia="Times New Roman" w:cs="Times New Roman"/>
                <w:color w:val="000000"/>
                <w:sz w:val="20"/>
                <w:szCs w:val="20"/>
                <w:lang w:val="uk-UA" w:eastAsia="ru-RU"/>
              </w:rPr>
              <w:t>80</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color w:val="000000"/>
                <w:sz w:val="20"/>
                <w:szCs w:val="20"/>
                <w:lang w:val="uk-UA" w:eastAsia="ru-RU"/>
              </w:rPr>
            </w:pPr>
            <w:r w:rsidRPr="002A479A">
              <w:rPr>
                <w:rFonts w:eastAsia="Times New Roman" w:cs="Times New Roman"/>
                <w:color w:val="000000"/>
                <w:sz w:val="20"/>
                <w:szCs w:val="20"/>
                <w:lang w:val="uk-UA" w:eastAsia="ru-RU"/>
              </w:rPr>
              <w:t>100</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color w:val="000000"/>
                <w:sz w:val="20"/>
                <w:szCs w:val="20"/>
                <w:lang w:val="uk-UA" w:eastAsia="ru-RU"/>
              </w:rPr>
            </w:pPr>
            <w:r w:rsidRPr="002A479A">
              <w:rPr>
                <w:rFonts w:eastAsia="Times New Roman" w:cs="Times New Roman"/>
                <w:color w:val="000000"/>
                <w:sz w:val="20"/>
                <w:szCs w:val="20"/>
                <w:lang w:val="uk-UA" w:eastAsia="ru-RU"/>
              </w:rPr>
              <w:t>100</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15. Забезпечити лабораторії І – ІІІ рівнів з бактеріологічної діагностики туберкульозу </w:t>
            </w:r>
            <w:r w:rsidRPr="002A479A">
              <w:rPr>
                <w:rFonts w:eastAsia="Times New Roman" w:cs="Times New Roman"/>
                <w:sz w:val="20"/>
                <w:szCs w:val="20"/>
                <w:lang w:val="uk-UA" w:eastAsia="ru-RU"/>
              </w:rPr>
              <w:lastRenderedPageBreak/>
              <w:t xml:space="preserve">необхідним лабораторним обладнанням, комп’ютерною технікою та витратними матеріалами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lastRenderedPageBreak/>
              <w:t>Департамент охорони здоров’я облдержадмін</w:t>
            </w:r>
            <w:r w:rsidRPr="002A479A">
              <w:rPr>
                <w:rFonts w:eastAsia="Times New Roman" w:cs="Times New Roman"/>
                <w:sz w:val="18"/>
                <w:szCs w:val="18"/>
                <w:lang w:val="uk-UA" w:eastAsia="ru-RU"/>
              </w:rPr>
              <w:lastRenderedPageBreak/>
              <w:t>істрації, райдержадміністрації, міськвиконкоми</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lastRenderedPageBreak/>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246,9</w:t>
            </w:r>
          </w:p>
        </w:tc>
        <w:tc>
          <w:tcPr>
            <w:tcW w:w="812" w:type="dxa"/>
            <w:gridSpan w:val="3"/>
            <w:tcBorders>
              <w:top w:val="single" w:sz="4" w:space="0" w:color="auto"/>
              <w:left w:val="nil"/>
              <w:bottom w:val="single" w:sz="4" w:space="0" w:color="auto"/>
              <w:right w:val="single" w:sz="4" w:space="0" w:color="auto"/>
            </w:tcBorders>
            <w:shd w:val="clear" w:color="auto" w:fill="auto"/>
            <w:noWrap/>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53,6</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58,7</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64,3</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70,4</w:t>
            </w:r>
          </w:p>
        </w:tc>
      </w:tr>
      <w:tr w:rsidR="0037241B" w:rsidRPr="002A479A" w:rsidTr="00D220E5">
        <w:trPr>
          <w:trHeight w:val="855"/>
        </w:trPr>
        <w:tc>
          <w:tcPr>
            <w:tcW w:w="1438" w:type="dxa"/>
            <w:tcBorders>
              <w:top w:val="single" w:sz="4" w:space="0" w:color="auto"/>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lastRenderedPageBreak/>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color w:val="000000"/>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color w:val="000000"/>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color w:val="000000"/>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color w:val="000000"/>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color w:val="000000"/>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color w:val="000000"/>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270,4</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58,7</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64,3</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70,4</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77,1</w:t>
            </w:r>
          </w:p>
        </w:tc>
      </w:tr>
      <w:tr w:rsidR="0037241B" w:rsidRPr="002A479A" w:rsidTr="00D220E5">
        <w:trPr>
          <w:trHeight w:val="1891"/>
        </w:trPr>
        <w:tc>
          <w:tcPr>
            <w:tcW w:w="1438" w:type="dxa"/>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lastRenderedPageBreak/>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лабораторій ІІІ рівня, які здійснюють швидку діагностику туберкульозу</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D220E5">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16. Впровадити інноваційні методи швидкої діагностики туберкульозу, в тому числі </w:t>
            </w:r>
            <w:proofErr w:type="spellStart"/>
            <w:r w:rsidRPr="002A479A">
              <w:rPr>
                <w:rFonts w:eastAsia="Times New Roman" w:cs="Times New Roman"/>
                <w:sz w:val="20"/>
                <w:szCs w:val="20"/>
                <w:lang w:val="uk-UA" w:eastAsia="ru-RU"/>
              </w:rPr>
              <w:t>мультирезистентного</w:t>
            </w:r>
            <w:proofErr w:type="spellEnd"/>
            <w:r w:rsidRPr="002A479A">
              <w:rPr>
                <w:rFonts w:eastAsia="Times New Roman" w:cs="Times New Roman"/>
                <w:sz w:val="20"/>
                <w:szCs w:val="20"/>
                <w:lang w:val="uk-UA" w:eastAsia="ru-RU"/>
              </w:rPr>
              <w:t xml:space="preserve"> (далі </w:t>
            </w:r>
            <w:proofErr w:type="spellStart"/>
            <w:r w:rsidRPr="002A479A">
              <w:rPr>
                <w:rFonts w:eastAsia="Times New Roman" w:cs="Times New Roman"/>
                <w:sz w:val="20"/>
                <w:szCs w:val="20"/>
                <w:lang w:val="uk-UA" w:eastAsia="ru-RU"/>
              </w:rPr>
              <w:t>МР</w:t>
            </w:r>
            <w:proofErr w:type="spellEnd"/>
            <w:r w:rsidRPr="002A479A">
              <w:rPr>
                <w:rFonts w:eastAsia="Times New Roman" w:cs="Times New Roman"/>
                <w:sz w:val="20"/>
                <w:szCs w:val="20"/>
                <w:lang w:val="uk-UA" w:eastAsia="ru-RU"/>
              </w:rPr>
              <w:t xml:space="preserve"> ТБ), у лабораторії ІІІ рівня молекулярно-генетичними методами шляхом закупівлі обладнання та витратних матеріалів</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D220E5">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r w:rsidR="00D220E5">
              <w:rPr>
                <w:rFonts w:eastAsia="Times New Roman" w:cs="Times New Roman"/>
                <w:sz w:val="18"/>
                <w:szCs w:val="18"/>
                <w:lang w:val="uk-UA" w:eastAsia="ru-RU"/>
              </w:rPr>
              <w:t xml:space="preserve">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2014 року</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Державний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1031,0</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1031,0</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r>
      <w:tr w:rsidR="0037241B" w:rsidRPr="002A479A" w:rsidTr="00E23015">
        <w:trPr>
          <w:trHeight w:val="2010"/>
        </w:trPr>
        <w:tc>
          <w:tcPr>
            <w:tcW w:w="1438" w:type="dxa"/>
            <w:vMerge w:val="restart"/>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2. Удосконалення системи моніторингу та оцінки результатів виконання Програми</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функціонуючих регіональних відділів моніторингу і оцінки заходів протидії захворюванню на туберкульоз та ТБ/ВІЛ ко-інфекції</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1. Створити відділи моніторингу і оцінки заходів протидії захворюванню на туберкульоз у Полтавському та Кременчуцькому обласних протитуберкульозних закладах</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xml:space="preserve">Департамент охорони здоров’я облдержадміністрації, БФ «Розвиток України» </w:t>
            </w:r>
          </w:p>
        </w:tc>
        <w:tc>
          <w:tcPr>
            <w:tcW w:w="993" w:type="dxa"/>
            <w:gridSpan w:val="2"/>
            <w:tcBorders>
              <w:top w:val="single" w:sz="4" w:space="0" w:color="auto"/>
              <w:left w:val="nil"/>
              <w:bottom w:val="single" w:sz="4" w:space="0" w:color="auto"/>
              <w:right w:val="nil"/>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Протягом 2013 - 2014 років</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Глобальний фонд</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проектів за підтримки Глобального фонду</w:t>
            </w:r>
          </w:p>
        </w:tc>
      </w:tr>
      <w:tr w:rsidR="0037241B" w:rsidRPr="002A479A" w:rsidTr="00F360CA">
        <w:trPr>
          <w:trHeight w:val="1155"/>
        </w:trPr>
        <w:tc>
          <w:tcPr>
            <w:tcW w:w="1438" w:type="dxa"/>
            <w:vMerge/>
            <w:tcBorders>
              <w:left w:val="single" w:sz="4" w:space="0" w:color="auto"/>
              <w:right w:val="single" w:sz="4" w:space="0" w:color="auto"/>
            </w:tcBorders>
            <w:vAlign w:val="center"/>
            <w:hideMark/>
          </w:tcPr>
          <w:p w:rsidR="0037241B" w:rsidRPr="002A479A" w:rsidRDefault="0037241B" w:rsidP="006006B7">
            <w:pPr>
              <w:widowControl w:val="0"/>
              <w:rPr>
                <w:rFonts w:eastAsia="Times New Roman" w:cs="Times New Roman"/>
                <w:sz w:val="20"/>
                <w:szCs w:val="20"/>
                <w:lang w:val="uk-UA" w:eastAsia="ru-RU"/>
              </w:rPr>
            </w:pPr>
          </w:p>
        </w:tc>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Впровадження електронного реєстру на обласному та регіональному рівнях та приведення системи звітності та обліку відповідно до міжнародних стандартів</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2. Забезпечити  функціонування системи обліку та звітності, включно з лабораторною мережею з мікробіологічної діагностики туберкульозу, відповідно до міжнародних стандартів (враховуючи звітно-облікові форми та впровадження електронного реєстру хворих на туберкульоз) в Полтавській області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F360CA">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r w:rsidR="00F360CA" w:rsidRPr="002A479A">
              <w:rPr>
                <w:rFonts w:eastAsia="Times New Roman" w:cs="Times New Roman"/>
                <w:sz w:val="18"/>
                <w:szCs w:val="18"/>
                <w:lang w:val="uk-UA" w:eastAsia="ru-RU"/>
              </w:rPr>
              <w:t xml:space="preserve"> </w:t>
            </w:r>
            <w:r w:rsidR="00F360CA">
              <w:rPr>
                <w:rFonts w:eastAsia="Times New Roman" w:cs="Times New Roman"/>
                <w:sz w:val="18"/>
                <w:szCs w:val="18"/>
                <w:lang w:val="uk-UA" w:eastAsia="ru-RU"/>
              </w:rPr>
              <w:t xml:space="preserve">сумісно з </w:t>
            </w:r>
            <w:r w:rsidR="00F360CA" w:rsidRPr="002A479A">
              <w:rPr>
                <w:rFonts w:eastAsia="Times New Roman" w:cs="Times New Roman"/>
                <w:sz w:val="18"/>
                <w:szCs w:val="18"/>
                <w:lang w:val="uk-UA" w:eastAsia="ru-RU"/>
              </w:rPr>
              <w:t>Б</w:t>
            </w:r>
            <w:r w:rsidR="00F360CA">
              <w:rPr>
                <w:rFonts w:eastAsia="Times New Roman" w:cs="Times New Roman"/>
                <w:sz w:val="18"/>
                <w:szCs w:val="18"/>
                <w:lang w:val="uk-UA" w:eastAsia="ru-RU"/>
              </w:rPr>
              <w:t>лагодійним фондом</w:t>
            </w:r>
            <w:r w:rsidR="00F360CA" w:rsidRPr="002A479A">
              <w:rPr>
                <w:rFonts w:eastAsia="Times New Roman" w:cs="Times New Roman"/>
                <w:sz w:val="18"/>
                <w:szCs w:val="18"/>
                <w:lang w:val="uk-UA" w:eastAsia="ru-RU"/>
              </w:rPr>
              <w:t xml:space="preserve"> «Розвиток України»</w:t>
            </w:r>
            <w:r w:rsidRPr="002A479A">
              <w:rPr>
                <w:rFonts w:eastAsia="Times New Roman" w:cs="Times New Roman"/>
                <w:sz w:val="18"/>
                <w:szCs w:val="18"/>
                <w:lang w:val="uk-UA" w:eastAsia="ru-RU"/>
              </w:rPr>
              <w:t xml:space="preserve">, </w:t>
            </w:r>
            <w:r w:rsidR="00F360CA" w:rsidRPr="002A479A">
              <w:rPr>
                <w:rFonts w:eastAsia="Times New Roman" w:cs="Times New Roman"/>
                <w:sz w:val="18"/>
                <w:szCs w:val="18"/>
                <w:lang w:val="uk-UA" w:eastAsia="ru-RU"/>
              </w:rPr>
              <w:t xml:space="preserve">Управління Державної пенітенціарної служби України в Полтавській області, </w:t>
            </w:r>
            <w:r w:rsidRPr="002A479A">
              <w:rPr>
                <w:rFonts w:eastAsia="Times New Roman" w:cs="Times New Roman"/>
                <w:sz w:val="18"/>
                <w:szCs w:val="18"/>
                <w:lang w:val="uk-UA" w:eastAsia="ru-RU"/>
              </w:rPr>
              <w:t xml:space="preserve">райдержадміністрації, міськвиконкоми, </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 року</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Глобальний фонд</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проектів за підтримки Глобального фонду</w:t>
            </w:r>
          </w:p>
        </w:tc>
      </w:tr>
      <w:tr w:rsidR="0037241B" w:rsidRPr="002A479A" w:rsidTr="00F360CA">
        <w:trPr>
          <w:trHeight w:val="1993"/>
        </w:trPr>
        <w:tc>
          <w:tcPr>
            <w:tcW w:w="1438" w:type="dxa"/>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71,4</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15,5</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17,0</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18,6</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20,4</w:t>
            </w:r>
          </w:p>
        </w:tc>
      </w:tr>
      <w:tr w:rsidR="0037241B" w:rsidRPr="002A479A" w:rsidTr="00F360CA">
        <w:trPr>
          <w:trHeight w:val="1694"/>
        </w:trPr>
        <w:tc>
          <w:tcPr>
            <w:tcW w:w="1438"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lastRenderedPageBreak/>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регіонів, в яких було здійснено моніторингові візити з центрального рівня (</w:t>
            </w:r>
            <w:proofErr w:type="spellStart"/>
            <w:r w:rsidRPr="002A479A">
              <w:rPr>
                <w:rFonts w:eastAsia="Times New Roman" w:cs="Times New Roman"/>
                <w:sz w:val="20"/>
                <w:szCs w:val="20"/>
                <w:lang w:val="uk-UA" w:eastAsia="ru-RU"/>
              </w:rPr>
              <w:t>абс</w:t>
            </w:r>
            <w:proofErr w:type="spellEnd"/>
            <w:r w:rsidRPr="002A479A">
              <w:rPr>
                <w:rFonts w:eastAsia="Times New Roman" w:cs="Times New Roman"/>
                <w:sz w:val="20"/>
                <w:szCs w:val="20"/>
                <w:lang w:val="uk-UA" w:eastAsia="ru-RU"/>
              </w:rPr>
              <w:t xml:space="preserve">.)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3. Забезпечити проведення моніторингових візитів </w:t>
            </w:r>
            <w:r w:rsidRPr="002A479A">
              <w:rPr>
                <w:rFonts w:eastAsia="Times New Roman" w:cs="Times New Roman"/>
                <w:color w:val="000000"/>
                <w:sz w:val="20"/>
                <w:szCs w:val="20"/>
                <w:lang w:val="uk-UA" w:eastAsia="ru-RU"/>
              </w:rPr>
              <w:t>фахівців регіонального рівня для надання організаційно-методичної та консультативної допомоги фахівцям районів щодо боротьби з туберкульозом</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Глобальний фонд</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проектів за підтримки Глобального фонду</w:t>
            </w:r>
          </w:p>
        </w:tc>
      </w:tr>
      <w:tr w:rsidR="0037241B" w:rsidRPr="002A479A" w:rsidTr="00F360CA">
        <w:trPr>
          <w:trHeight w:val="1960"/>
        </w:trPr>
        <w:tc>
          <w:tcPr>
            <w:tcW w:w="1438" w:type="dxa"/>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3. Організація виявлення та діагностики туберкульозу</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виявлення хворих на туберкульоз серед пацієнтів, обстежених методом мікроскопії мазка мокротиння в закладах загально-лікувальної мережі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4,5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2</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2,5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3,5</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4,5</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1. Забезпечити виявлення в лікувально-профілактичних закладах загально-лікувальної мережі осіб, хворих на туберкульоз, за зверненням шляхом проведення мікроскопії мазка мокротиння</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райдержадміністрації, міськвиконкоми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85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551,5</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119,7</w:t>
            </w:r>
          </w:p>
        </w:tc>
        <w:tc>
          <w:tcPr>
            <w:tcW w:w="851"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131,1</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143,5</w:t>
            </w:r>
          </w:p>
        </w:tc>
        <w:tc>
          <w:tcPr>
            <w:tcW w:w="97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157,2</w:t>
            </w:r>
          </w:p>
        </w:tc>
      </w:tr>
      <w:tr w:rsidR="00F360CA" w:rsidRPr="002A479A" w:rsidTr="0071068C">
        <w:trPr>
          <w:trHeight w:val="1082"/>
        </w:trPr>
        <w:tc>
          <w:tcPr>
            <w:tcW w:w="1438" w:type="dxa"/>
            <w:vMerge w:val="restart"/>
            <w:tcBorders>
              <w:left w:val="single" w:sz="4" w:space="0" w:color="auto"/>
              <w:right w:val="single" w:sz="4" w:space="0" w:color="auto"/>
            </w:tcBorders>
            <w:shd w:val="clear" w:color="auto" w:fill="auto"/>
            <w:hideMark/>
          </w:tcPr>
          <w:p w:rsidR="00F360CA" w:rsidRPr="002A479A" w:rsidRDefault="00F360CA" w:rsidP="006006B7">
            <w:pPr>
              <w:widowControl w:val="0"/>
              <w:rPr>
                <w:rFonts w:eastAsia="Times New Roman" w:cs="Times New Roman"/>
                <w:sz w:val="20"/>
                <w:szCs w:val="20"/>
                <w:lang w:val="uk-UA" w:eastAsia="ru-RU"/>
              </w:rPr>
            </w:pPr>
          </w:p>
        </w:tc>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360CA" w:rsidRPr="002A479A" w:rsidRDefault="00F360CA"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Відсоток хворих з </w:t>
            </w:r>
            <w:proofErr w:type="spellStart"/>
            <w:r w:rsidRPr="002A479A">
              <w:rPr>
                <w:rFonts w:eastAsia="Times New Roman" w:cs="Times New Roman"/>
                <w:sz w:val="20"/>
                <w:szCs w:val="20"/>
                <w:lang w:val="uk-UA" w:eastAsia="ru-RU"/>
              </w:rPr>
              <w:t>бактеріовиділенням</w:t>
            </w:r>
            <w:proofErr w:type="spellEnd"/>
            <w:r w:rsidRPr="002A479A">
              <w:rPr>
                <w:rFonts w:eastAsia="Times New Roman" w:cs="Times New Roman"/>
                <w:sz w:val="20"/>
                <w:szCs w:val="20"/>
                <w:lang w:val="uk-UA" w:eastAsia="ru-RU"/>
              </w:rPr>
              <w:t xml:space="preserve"> </w:t>
            </w:r>
            <w:proofErr w:type="spellStart"/>
            <w:r w:rsidRPr="002A479A">
              <w:rPr>
                <w:rFonts w:eastAsia="Times New Roman" w:cs="Times New Roman"/>
                <w:sz w:val="20"/>
                <w:szCs w:val="20"/>
                <w:lang w:val="uk-UA" w:eastAsia="ru-RU"/>
              </w:rPr>
              <w:t>діагностованих</w:t>
            </w:r>
            <w:proofErr w:type="spellEnd"/>
            <w:r w:rsidRPr="002A479A">
              <w:rPr>
                <w:rFonts w:eastAsia="Times New Roman" w:cs="Times New Roman"/>
                <w:sz w:val="20"/>
                <w:szCs w:val="20"/>
                <w:lang w:val="uk-UA" w:eastAsia="ru-RU"/>
              </w:rPr>
              <w:t xml:space="preserve"> за допомогою </w:t>
            </w:r>
            <w:proofErr w:type="spellStart"/>
            <w:r w:rsidRPr="002A479A">
              <w:rPr>
                <w:rFonts w:eastAsia="Times New Roman" w:cs="Times New Roman"/>
                <w:sz w:val="20"/>
                <w:szCs w:val="20"/>
                <w:lang w:val="uk-UA" w:eastAsia="ru-RU"/>
              </w:rPr>
              <w:t>культуральних</w:t>
            </w:r>
            <w:proofErr w:type="spellEnd"/>
            <w:r w:rsidRPr="002A479A">
              <w:rPr>
                <w:rFonts w:eastAsia="Times New Roman" w:cs="Times New Roman"/>
                <w:sz w:val="20"/>
                <w:szCs w:val="20"/>
                <w:lang w:val="uk-UA" w:eastAsia="ru-RU"/>
              </w:rPr>
              <w:t xml:space="preserve"> методів дослідження в протитуберкульозних закладах</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60CA" w:rsidRPr="002A479A" w:rsidRDefault="00F360CA"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60</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60CA" w:rsidRPr="002A479A" w:rsidRDefault="00F360CA"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50</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60CA" w:rsidRPr="002A479A" w:rsidRDefault="00F360CA"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54</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60CA" w:rsidRPr="002A479A" w:rsidRDefault="00F360CA"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57</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60CA" w:rsidRPr="002A479A" w:rsidRDefault="00F360CA"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60</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360CA" w:rsidRPr="002A479A" w:rsidRDefault="00F360CA"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2. Забезпечити діагностику туберкульозу, у т.ч. </w:t>
            </w:r>
            <w:proofErr w:type="spellStart"/>
            <w:r w:rsidRPr="002A479A">
              <w:rPr>
                <w:rFonts w:eastAsia="Times New Roman" w:cs="Times New Roman"/>
                <w:sz w:val="20"/>
                <w:szCs w:val="20"/>
                <w:lang w:val="uk-UA" w:eastAsia="ru-RU"/>
              </w:rPr>
              <w:t>мультирезистентного</w:t>
            </w:r>
            <w:proofErr w:type="spellEnd"/>
            <w:r w:rsidRPr="002A479A">
              <w:rPr>
                <w:rFonts w:eastAsia="Times New Roman" w:cs="Times New Roman"/>
                <w:sz w:val="20"/>
                <w:szCs w:val="20"/>
                <w:lang w:val="uk-UA" w:eastAsia="ru-RU"/>
              </w:rPr>
              <w:t>, бактеріологічними методами</w:t>
            </w:r>
          </w:p>
        </w:tc>
        <w:tc>
          <w:tcPr>
            <w:tcW w:w="1134" w:type="dxa"/>
            <w:vMerge w:val="restart"/>
            <w:tcBorders>
              <w:top w:val="single" w:sz="4" w:space="0" w:color="auto"/>
              <w:left w:val="single" w:sz="4" w:space="0" w:color="auto"/>
              <w:bottom w:val="single" w:sz="4" w:space="0" w:color="auto"/>
              <w:right w:val="nil"/>
            </w:tcBorders>
            <w:shd w:val="clear" w:color="auto" w:fill="auto"/>
            <w:hideMark/>
          </w:tcPr>
          <w:p w:rsidR="00F360CA" w:rsidRPr="002A479A" w:rsidRDefault="00F360CA"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vMerge w:val="restart"/>
            <w:tcBorders>
              <w:top w:val="single" w:sz="4" w:space="0" w:color="auto"/>
              <w:left w:val="single" w:sz="4" w:space="0" w:color="auto"/>
              <w:right w:val="single" w:sz="4" w:space="0" w:color="auto"/>
            </w:tcBorders>
            <w:shd w:val="clear" w:color="auto" w:fill="auto"/>
            <w:hideMark/>
          </w:tcPr>
          <w:p w:rsidR="00F360CA" w:rsidRPr="002A479A" w:rsidRDefault="00F360CA"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p w:rsidR="00F360CA" w:rsidRPr="002A479A" w:rsidRDefault="00F360CA"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1" w:type="dxa"/>
            <w:tcBorders>
              <w:top w:val="single" w:sz="4" w:space="0" w:color="auto"/>
              <w:left w:val="nil"/>
              <w:bottom w:val="single" w:sz="4" w:space="0" w:color="auto"/>
              <w:right w:val="single" w:sz="4" w:space="0" w:color="auto"/>
            </w:tcBorders>
            <w:shd w:val="clear" w:color="auto" w:fill="auto"/>
            <w:hideMark/>
          </w:tcPr>
          <w:p w:rsidR="00F360CA" w:rsidRPr="002A479A" w:rsidRDefault="00F360CA"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Державний бюджет</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F360CA" w:rsidRPr="002A479A" w:rsidRDefault="00F360CA"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видатків державного бюджету</w:t>
            </w:r>
          </w:p>
        </w:tc>
      </w:tr>
      <w:tr w:rsidR="00F360CA" w:rsidRPr="002A479A" w:rsidTr="00F360CA">
        <w:trPr>
          <w:trHeight w:val="643"/>
        </w:trPr>
        <w:tc>
          <w:tcPr>
            <w:tcW w:w="1438" w:type="dxa"/>
            <w:vMerge/>
            <w:tcBorders>
              <w:left w:val="single" w:sz="4" w:space="0" w:color="auto"/>
              <w:right w:val="single" w:sz="4" w:space="0" w:color="auto"/>
            </w:tcBorders>
            <w:shd w:val="clear" w:color="auto" w:fill="auto"/>
            <w:hideMark/>
          </w:tcPr>
          <w:p w:rsidR="00F360CA" w:rsidRPr="002A479A" w:rsidRDefault="00F360CA" w:rsidP="006006B7">
            <w:pPr>
              <w:widowControl w:val="0"/>
              <w:rPr>
                <w:rFonts w:eastAsia="Times New Roman" w:cs="Times New Roman"/>
                <w:sz w:val="20"/>
                <w:szCs w:val="20"/>
                <w:lang w:val="uk-UA" w:eastAsia="ru-RU"/>
              </w:rPr>
            </w:pP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F360CA" w:rsidRPr="002A479A" w:rsidRDefault="00F360CA"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F360CA" w:rsidRPr="002A479A" w:rsidRDefault="00F360CA"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F360CA" w:rsidRPr="002A479A" w:rsidRDefault="00F360CA"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F360CA" w:rsidRPr="002A479A" w:rsidRDefault="00F360CA"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F360CA" w:rsidRPr="002A479A" w:rsidRDefault="00F360CA"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F360CA" w:rsidRPr="002A479A" w:rsidRDefault="00F360CA" w:rsidP="006006B7">
            <w:pPr>
              <w:widowControl w:val="0"/>
              <w:spacing w:line="216" w:lineRule="auto"/>
              <w:rPr>
                <w:rFonts w:eastAsia="Times New Roman" w:cs="Times New Roman"/>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F360CA" w:rsidRPr="002A479A" w:rsidRDefault="00F360CA"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nil"/>
            </w:tcBorders>
            <w:vAlign w:val="center"/>
            <w:hideMark/>
          </w:tcPr>
          <w:p w:rsidR="00F360CA" w:rsidRPr="002A479A" w:rsidRDefault="00F360CA" w:rsidP="006006B7">
            <w:pPr>
              <w:widowControl w:val="0"/>
              <w:spacing w:line="216" w:lineRule="auto"/>
              <w:rPr>
                <w:rFonts w:eastAsia="Times New Roman" w:cs="Times New Roman"/>
                <w:sz w:val="18"/>
                <w:szCs w:val="18"/>
                <w:lang w:val="uk-UA" w:eastAsia="ru-RU"/>
              </w:rPr>
            </w:pPr>
          </w:p>
        </w:tc>
        <w:tc>
          <w:tcPr>
            <w:tcW w:w="993" w:type="dxa"/>
            <w:gridSpan w:val="2"/>
            <w:vMerge/>
            <w:tcBorders>
              <w:left w:val="single" w:sz="4" w:space="0" w:color="auto"/>
              <w:right w:val="single" w:sz="4" w:space="0" w:color="auto"/>
            </w:tcBorders>
            <w:vAlign w:val="center"/>
            <w:hideMark/>
          </w:tcPr>
          <w:p w:rsidR="00F360CA" w:rsidRPr="002A479A" w:rsidRDefault="00F360CA" w:rsidP="006006B7">
            <w:pPr>
              <w:widowControl w:val="0"/>
              <w:spacing w:line="216" w:lineRule="auto"/>
              <w:rPr>
                <w:rFonts w:eastAsia="Times New Roman" w:cs="Times New Roman"/>
                <w:sz w:val="18"/>
                <w:szCs w:val="18"/>
                <w:lang w:val="uk-UA" w:eastAsia="ru-RU"/>
              </w:rPr>
            </w:pPr>
          </w:p>
        </w:tc>
        <w:tc>
          <w:tcPr>
            <w:tcW w:w="991" w:type="dxa"/>
            <w:tcBorders>
              <w:top w:val="single" w:sz="4" w:space="0" w:color="auto"/>
              <w:left w:val="nil"/>
              <w:right w:val="single" w:sz="4" w:space="0" w:color="auto"/>
            </w:tcBorders>
            <w:shd w:val="clear" w:color="auto" w:fill="auto"/>
            <w:hideMark/>
          </w:tcPr>
          <w:p w:rsidR="00F360CA" w:rsidRPr="002A479A" w:rsidRDefault="00F360CA"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right w:val="single" w:sz="4" w:space="0" w:color="auto"/>
            </w:tcBorders>
            <w:shd w:val="clear" w:color="auto" w:fill="auto"/>
            <w:hideMark/>
          </w:tcPr>
          <w:p w:rsidR="00F360CA" w:rsidRPr="002A479A" w:rsidRDefault="00F360CA"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1617,0</w:t>
            </w:r>
          </w:p>
        </w:tc>
        <w:tc>
          <w:tcPr>
            <w:tcW w:w="812" w:type="dxa"/>
            <w:gridSpan w:val="3"/>
            <w:tcBorders>
              <w:top w:val="single" w:sz="4" w:space="0" w:color="auto"/>
              <w:left w:val="nil"/>
              <w:right w:val="nil"/>
            </w:tcBorders>
            <w:shd w:val="clear" w:color="auto" w:fill="auto"/>
            <w:hideMark/>
          </w:tcPr>
          <w:p w:rsidR="00F360CA" w:rsidRPr="002A479A" w:rsidRDefault="00F360CA"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351,0</w:t>
            </w:r>
          </w:p>
        </w:tc>
        <w:tc>
          <w:tcPr>
            <w:tcW w:w="709" w:type="dxa"/>
            <w:gridSpan w:val="2"/>
            <w:tcBorders>
              <w:top w:val="single" w:sz="4" w:space="0" w:color="auto"/>
              <w:left w:val="single" w:sz="4" w:space="0" w:color="auto"/>
              <w:right w:val="single" w:sz="4" w:space="0" w:color="auto"/>
            </w:tcBorders>
            <w:shd w:val="clear" w:color="auto" w:fill="auto"/>
            <w:hideMark/>
          </w:tcPr>
          <w:p w:rsidR="00F360CA" w:rsidRPr="002A479A" w:rsidRDefault="00F360CA"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384,3</w:t>
            </w:r>
          </w:p>
        </w:tc>
        <w:tc>
          <w:tcPr>
            <w:tcW w:w="709" w:type="dxa"/>
            <w:gridSpan w:val="3"/>
            <w:tcBorders>
              <w:top w:val="single" w:sz="4" w:space="0" w:color="auto"/>
              <w:left w:val="nil"/>
              <w:right w:val="single" w:sz="4" w:space="0" w:color="auto"/>
            </w:tcBorders>
            <w:shd w:val="clear" w:color="auto" w:fill="auto"/>
            <w:hideMark/>
          </w:tcPr>
          <w:p w:rsidR="00F360CA" w:rsidRPr="002A479A" w:rsidRDefault="00F360CA"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420,9</w:t>
            </w:r>
          </w:p>
        </w:tc>
        <w:tc>
          <w:tcPr>
            <w:tcW w:w="727" w:type="dxa"/>
            <w:tcBorders>
              <w:top w:val="single" w:sz="4" w:space="0" w:color="auto"/>
              <w:left w:val="nil"/>
              <w:right w:val="single" w:sz="4" w:space="0" w:color="auto"/>
            </w:tcBorders>
            <w:shd w:val="clear" w:color="auto" w:fill="auto"/>
            <w:hideMark/>
          </w:tcPr>
          <w:p w:rsidR="00F360CA" w:rsidRPr="002A479A" w:rsidRDefault="00F360CA"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460,8</w:t>
            </w:r>
          </w:p>
        </w:tc>
      </w:tr>
      <w:tr w:rsidR="0037241B" w:rsidRPr="002A479A" w:rsidTr="00F360CA">
        <w:trPr>
          <w:trHeight w:val="559"/>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хворих на туберкульоз 1 – 3 категорії, яким  проведено діагностику за допомогою посіву на рідкі поживні середовища (%)</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50</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60</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3. Здійснювати діагностику туберкульозу, в т.ч. МРТБ, методом посіву на рідкі поживні середовища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vMerge w:val="restart"/>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Державний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3369,1</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731,3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800,8</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876,8</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960,1</w:t>
            </w:r>
          </w:p>
        </w:tc>
      </w:tr>
      <w:tr w:rsidR="0037241B" w:rsidRPr="002A479A" w:rsidTr="00F360CA">
        <w:trPr>
          <w:trHeight w:val="413"/>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Глобальний фонд</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проектів за підтримки Глобального фонду</w:t>
            </w:r>
          </w:p>
        </w:tc>
      </w:tr>
      <w:tr w:rsidR="0037241B" w:rsidRPr="002A479A" w:rsidTr="00F360CA">
        <w:trPr>
          <w:trHeight w:val="561"/>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Всього</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3369,1</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731,3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800,8</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876,8</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960,1</w:t>
            </w:r>
          </w:p>
        </w:tc>
      </w:tr>
      <w:tr w:rsidR="0037241B" w:rsidRPr="002A479A" w:rsidTr="00F360CA">
        <w:trPr>
          <w:trHeight w:val="2402"/>
        </w:trPr>
        <w:tc>
          <w:tcPr>
            <w:tcW w:w="1438" w:type="dxa"/>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хворих на туберкульоз, які перебувають в слідчому ізоляторі, що охоплені бактеріологічним обстеженням  (</w:t>
            </w:r>
            <w:proofErr w:type="spellStart"/>
            <w:r w:rsidRPr="002A479A">
              <w:rPr>
                <w:rFonts w:eastAsia="Times New Roman" w:cs="Times New Roman"/>
                <w:sz w:val="20"/>
                <w:szCs w:val="20"/>
                <w:lang w:val="uk-UA" w:eastAsia="ru-RU"/>
              </w:rPr>
              <w:t>абс</w:t>
            </w:r>
            <w:proofErr w:type="spellEnd"/>
            <w:r w:rsidRPr="002A479A">
              <w:rPr>
                <w:rFonts w:eastAsia="Times New Roman" w:cs="Times New Roman"/>
                <w:sz w:val="20"/>
                <w:szCs w:val="20"/>
                <w:lang w:val="uk-UA" w:eastAsia="ru-RU"/>
              </w:rPr>
              <w:t>.)</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220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55</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55</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55</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4. Забезпечити проведення в лабораторії ІІІ рівня Полтавського ОТД бактеріологічного дослідження мокротиння та визначення чутливості мікобактерій до протитуберкульозних препаратів І </w:t>
            </w:r>
            <w:proofErr w:type="spellStart"/>
            <w:r w:rsidRPr="002A479A">
              <w:rPr>
                <w:rFonts w:eastAsia="Times New Roman" w:cs="Times New Roman"/>
                <w:sz w:val="20"/>
                <w:szCs w:val="20"/>
                <w:lang w:val="uk-UA" w:eastAsia="ru-RU"/>
              </w:rPr>
              <w:t>і</w:t>
            </w:r>
            <w:proofErr w:type="spellEnd"/>
            <w:r w:rsidRPr="002A479A">
              <w:rPr>
                <w:rFonts w:eastAsia="Times New Roman" w:cs="Times New Roman"/>
                <w:sz w:val="20"/>
                <w:szCs w:val="20"/>
                <w:lang w:val="uk-UA" w:eastAsia="ru-RU"/>
              </w:rPr>
              <w:t xml:space="preserve"> ІІ ряду в усіх </w:t>
            </w:r>
            <w:proofErr w:type="spellStart"/>
            <w:r w:rsidRPr="002A479A">
              <w:rPr>
                <w:rFonts w:eastAsia="Times New Roman" w:cs="Times New Roman"/>
                <w:sz w:val="20"/>
                <w:szCs w:val="20"/>
                <w:lang w:val="uk-UA" w:eastAsia="ru-RU"/>
              </w:rPr>
              <w:t>хворих-бактеріовиділювачів</w:t>
            </w:r>
            <w:proofErr w:type="spellEnd"/>
            <w:r w:rsidRPr="002A479A">
              <w:rPr>
                <w:rFonts w:eastAsia="Times New Roman" w:cs="Times New Roman"/>
                <w:sz w:val="20"/>
                <w:szCs w:val="20"/>
                <w:lang w:val="uk-UA" w:eastAsia="ru-RU"/>
              </w:rPr>
              <w:t>, які перебувають в слідчому ізоляторі</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xml:space="preserve">Департамент охорони здоров’я облдержадміністрації, Управління Державної пенітенціарної служби України в Полтавській області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Інші джерела фінансування</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13,8</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3,3</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3,6</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3,9</w:t>
            </w:r>
          </w:p>
        </w:tc>
      </w:tr>
      <w:tr w:rsidR="0037241B" w:rsidRPr="002A479A" w:rsidTr="00E23015">
        <w:trPr>
          <w:trHeight w:val="1259"/>
        </w:trPr>
        <w:tc>
          <w:tcPr>
            <w:tcW w:w="1438" w:type="dxa"/>
            <w:tcBorders>
              <w:top w:val="single" w:sz="4" w:space="0" w:color="auto"/>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lastRenderedPageBreak/>
              <w:t> </w:t>
            </w:r>
          </w:p>
        </w:tc>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охоплення хворих на  туберкульоз рентгенологічним обстеженням (%)</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5. Забезпечити діагностику та моніторинг ефективності лікування за допомогою рентгенологічного та інших методів  обстеження шляхом закупівлі: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райдержадміністрації, міськ</w:t>
            </w:r>
            <w:r w:rsidR="00F360CA">
              <w:rPr>
                <w:rFonts w:eastAsia="Times New Roman" w:cs="Times New Roman"/>
                <w:sz w:val="18"/>
                <w:szCs w:val="18"/>
                <w:lang w:val="uk-UA" w:eastAsia="ru-RU"/>
              </w:rPr>
              <w:t>виконкоми</w:t>
            </w:r>
          </w:p>
        </w:tc>
        <w:tc>
          <w:tcPr>
            <w:tcW w:w="993" w:type="dxa"/>
            <w:gridSpan w:val="2"/>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495,7</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107,6</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117,8</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129,0</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141,3</w:t>
            </w:r>
          </w:p>
        </w:tc>
      </w:tr>
      <w:tr w:rsidR="0037241B" w:rsidRPr="002A479A" w:rsidTr="00F360CA">
        <w:trPr>
          <w:trHeight w:val="562"/>
        </w:trPr>
        <w:tc>
          <w:tcPr>
            <w:tcW w:w="1438" w:type="dxa"/>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5.1. рентгенівської плівки та реагентів, лабораторних витратних матеріалів</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4347,1</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943,6</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1033,2</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1131,4</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1238,9</w:t>
            </w:r>
          </w:p>
        </w:tc>
      </w:tr>
      <w:tr w:rsidR="0037241B" w:rsidRPr="002A479A" w:rsidTr="00F360CA">
        <w:trPr>
          <w:trHeight w:val="1634"/>
        </w:trPr>
        <w:tc>
          <w:tcPr>
            <w:tcW w:w="1438" w:type="dxa"/>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5.2. Зміцнення матеріально-технічної бази за рахунок закупівлі обладнання та покращання його обслуговування</w:t>
            </w:r>
          </w:p>
        </w:tc>
        <w:tc>
          <w:tcPr>
            <w:tcW w:w="1134" w:type="dxa"/>
            <w:tcBorders>
              <w:top w:val="single" w:sz="4" w:space="0" w:color="auto"/>
              <w:left w:val="nil"/>
              <w:bottom w:val="single" w:sz="4" w:space="0" w:color="auto"/>
              <w:right w:val="nil"/>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райдержадміністрації, міськвик</w:t>
            </w:r>
            <w:r w:rsidR="00F360CA">
              <w:rPr>
                <w:rFonts w:eastAsia="Times New Roman" w:cs="Times New Roman"/>
                <w:sz w:val="18"/>
                <w:szCs w:val="18"/>
                <w:lang w:val="uk-UA" w:eastAsia="ru-RU"/>
              </w:rPr>
              <w:t>онкоми</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276,4</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60,0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65,7</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71,9</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78,8</w:t>
            </w:r>
          </w:p>
        </w:tc>
      </w:tr>
      <w:tr w:rsidR="0037241B" w:rsidRPr="002A479A" w:rsidTr="00E23015">
        <w:trPr>
          <w:trHeight w:val="600"/>
        </w:trPr>
        <w:tc>
          <w:tcPr>
            <w:tcW w:w="1438" w:type="dxa"/>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Відсоток дитячого населення, які охоплені </w:t>
            </w:r>
            <w:proofErr w:type="spellStart"/>
            <w:r w:rsidRPr="002A479A">
              <w:rPr>
                <w:rFonts w:eastAsia="Times New Roman" w:cs="Times New Roman"/>
                <w:sz w:val="20"/>
                <w:szCs w:val="20"/>
                <w:lang w:val="uk-UA" w:eastAsia="ru-RU"/>
              </w:rPr>
              <w:t>туберкулінодіагностикою</w:t>
            </w:r>
            <w:proofErr w:type="spellEnd"/>
            <w:r w:rsidRPr="002A479A">
              <w:rPr>
                <w:rFonts w:eastAsia="Times New Roman" w:cs="Times New Roman"/>
                <w:sz w:val="20"/>
                <w:szCs w:val="20"/>
                <w:lang w:val="uk-UA" w:eastAsia="ru-RU"/>
              </w:rPr>
              <w:t xml:space="preserve"> (%)</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98</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92</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98</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98</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6. Забезпечити здійснення </w:t>
            </w:r>
            <w:proofErr w:type="spellStart"/>
            <w:r w:rsidRPr="002A479A">
              <w:rPr>
                <w:rFonts w:eastAsia="Times New Roman" w:cs="Times New Roman"/>
                <w:sz w:val="20"/>
                <w:szCs w:val="20"/>
                <w:lang w:val="uk-UA" w:eastAsia="ru-RU"/>
              </w:rPr>
              <w:t>туберкулінодіагностики</w:t>
            </w:r>
            <w:proofErr w:type="spellEnd"/>
            <w:r w:rsidRPr="002A479A">
              <w:rPr>
                <w:rFonts w:eastAsia="Times New Roman" w:cs="Times New Roman"/>
                <w:sz w:val="20"/>
                <w:szCs w:val="20"/>
                <w:lang w:val="uk-UA" w:eastAsia="ru-RU"/>
              </w:rPr>
              <w:t xml:space="preserve"> дитячого населення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облдержадміністрації,райдержадміністрації, міськвиконкоми</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92,1</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21,9</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24,0</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26,3</w:t>
            </w:r>
          </w:p>
        </w:tc>
      </w:tr>
      <w:tr w:rsidR="0037241B" w:rsidRPr="002A479A" w:rsidTr="00E23015">
        <w:trPr>
          <w:trHeight w:val="503"/>
        </w:trPr>
        <w:tc>
          <w:tcPr>
            <w:tcW w:w="1438" w:type="dxa"/>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6977,2</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1514,5</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1658,4</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1815,9</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1988,4</w:t>
            </w:r>
          </w:p>
        </w:tc>
      </w:tr>
      <w:tr w:rsidR="0037241B" w:rsidRPr="002A479A" w:rsidTr="00F360CA">
        <w:trPr>
          <w:trHeight w:val="2930"/>
        </w:trPr>
        <w:tc>
          <w:tcPr>
            <w:tcW w:w="1438" w:type="dxa"/>
            <w:tcBorders>
              <w:left w:val="single" w:sz="4" w:space="0" w:color="auto"/>
              <w:bottom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осіб, які перебувають в місцях позбавлення волі, обстежених пересувною флюорографічною установкою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7. Організувати проведення флюорографічних обстежень пересувною флюорографічною установкою спецконтингенту установ, в яких відсутні флюорографічні установки та забезпечити надання консультативної допомоги фахівцями протитуберкульозного диспансеру особам з підозрою і хворим на туберкульоз (за місцем розташування установ) спільно з Полтавським ОТД</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xml:space="preserve">Департамент охорони здоров’я облдержадміністрації, Управління Державної пенітенціарної служби України в Полтавській області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Згідно графіка протягом року</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Інші джерела фінансування</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96,7</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21,0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23,0</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25,2</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27,6</w:t>
            </w:r>
          </w:p>
        </w:tc>
      </w:tr>
      <w:tr w:rsidR="0037241B" w:rsidRPr="002A479A" w:rsidTr="00E23015">
        <w:trPr>
          <w:trHeight w:val="3102"/>
        </w:trPr>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lastRenderedPageBreak/>
              <w:t> </w:t>
            </w:r>
          </w:p>
        </w:tc>
        <w:tc>
          <w:tcPr>
            <w:tcW w:w="1892"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Кількість засуджених осіб та взятих під варту з підозрою на туберкульоз, обстежених </w:t>
            </w:r>
            <w:proofErr w:type="spellStart"/>
            <w:r w:rsidRPr="002A479A">
              <w:rPr>
                <w:rFonts w:eastAsia="Times New Roman" w:cs="Times New Roman"/>
                <w:sz w:val="20"/>
                <w:szCs w:val="20"/>
                <w:lang w:val="uk-UA" w:eastAsia="ru-RU"/>
              </w:rPr>
              <w:t>рентгенологічно</w:t>
            </w:r>
            <w:proofErr w:type="spellEnd"/>
            <w:r w:rsidRPr="002A479A">
              <w:rPr>
                <w:rFonts w:eastAsia="Times New Roman" w:cs="Times New Roman"/>
                <w:sz w:val="20"/>
                <w:szCs w:val="20"/>
                <w:lang w:val="uk-UA" w:eastAsia="ru-RU"/>
              </w:rPr>
              <w:t xml:space="preserve"> (</w:t>
            </w:r>
            <w:proofErr w:type="spellStart"/>
            <w:r w:rsidRPr="002A479A">
              <w:rPr>
                <w:rFonts w:eastAsia="Times New Roman" w:cs="Times New Roman"/>
                <w:sz w:val="20"/>
                <w:szCs w:val="20"/>
                <w:lang w:val="uk-UA" w:eastAsia="ru-RU"/>
              </w:rPr>
              <w:t>абс</w:t>
            </w:r>
            <w:proofErr w:type="spellEnd"/>
            <w:r w:rsidRPr="002A479A">
              <w:rPr>
                <w:rFonts w:eastAsia="Times New Roman" w:cs="Times New Roman"/>
                <w:sz w:val="20"/>
                <w:szCs w:val="20"/>
                <w:lang w:val="uk-UA" w:eastAsia="ru-RU"/>
              </w:rPr>
              <w:t>.)</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8. Забезпечити проведення рентгенологічного обстеження в Полтавському ОТД осіб засуджених та взятих під варту осіб з підозрою захворювання на туберкульоз</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xml:space="preserve">Департамент охорони здоров’я облдержадміністрації, Управління Державної пенітенціарної служби України в Полтавській області, Управління Міністерства внутрішніх справ України в Полтавській області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0,6</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0,7</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0,7</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0,8</w:t>
            </w:r>
          </w:p>
        </w:tc>
      </w:tr>
      <w:tr w:rsidR="0071068C" w:rsidRPr="002A479A" w:rsidTr="0071068C">
        <w:trPr>
          <w:trHeight w:val="1416"/>
        </w:trPr>
        <w:tc>
          <w:tcPr>
            <w:tcW w:w="1438" w:type="dxa"/>
            <w:vMerge w:val="restart"/>
            <w:tcBorders>
              <w:top w:val="single" w:sz="4" w:space="0" w:color="auto"/>
              <w:left w:val="single" w:sz="4" w:space="0" w:color="auto"/>
              <w:right w:val="single" w:sz="4" w:space="0" w:color="auto"/>
            </w:tcBorders>
            <w:shd w:val="clear" w:color="auto" w:fill="auto"/>
            <w:hideMark/>
          </w:tcPr>
          <w:p w:rsidR="0071068C" w:rsidRPr="002A479A" w:rsidRDefault="0071068C"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4. Лікування та профілактика туберкульозу</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71068C" w:rsidRPr="002A479A" w:rsidRDefault="0071068C"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хворих на туберкульоз 1-3 категорії, яким призначена стандартна хіміотерапія (%)</w:t>
            </w:r>
          </w:p>
        </w:tc>
        <w:tc>
          <w:tcPr>
            <w:tcW w:w="431" w:type="dxa"/>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67" w:type="dxa"/>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70</w:t>
            </w:r>
          </w:p>
        </w:tc>
        <w:tc>
          <w:tcPr>
            <w:tcW w:w="431" w:type="dxa"/>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75</w:t>
            </w:r>
          </w:p>
        </w:tc>
        <w:tc>
          <w:tcPr>
            <w:tcW w:w="467" w:type="dxa"/>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431" w:type="dxa"/>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1068C" w:rsidRPr="002A479A" w:rsidRDefault="0071068C"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1.Забезпечити доступ до лікування  хворих на туберкульоз, у тому числі на МРТБ та з ризиком МРТБ, ВІЛ-інфікованих, бездомних осіб, контактних та інфікованих мікобактеріями туберкульозу дітей шляхом забезпечення протитуберкульозними препаратами І та ІІ ряду</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068C" w:rsidRPr="002A479A" w:rsidRDefault="0071068C" w:rsidP="003800FE">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xml:space="preserve">Департамент охорони здоров’я облдержадміністрації </w:t>
            </w:r>
            <w:r>
              <w:rPr>
                <w:rFonts w:eastAsia="Times New Roman" w:cs="Times New Roman"/>
                <w:sz w:val="18"/>
                <w:szCs w:val="18"/>
                <w:lang w:val="uk-UA" w:eastAsia="ru-RU"/>
              </w:rPr>
              <w:t xml:space="preserve">сумісно з </w:t>
            </w:r>
            <w:r w:rsidRPr="002A479A">
              <w:rPr>
                <w:rFonts w:eastAsia="Times New Roman" w:cs="Times New Roman"/>
                <w:sz w:val="18"/>
                <w:szCs w:val="18"/>
                <w:lang w:val="uk-UA" w:eastAsia="ru-RU"/>
              </w:rPr>
              <w:t>Б</w:t>
            </w:r>
            <w:r>
              <w:rPr>
                <w:rFonts w:eastAsia="Times New Roman" w:cs="Times New Roman"/>
                <w:sz w:val="18"/>
                <w:szCs w:val="18"/>
                <w:lang w:val="uk-UA" w:eastAsia="ru-RU"/>
              </w:rPr>
              <w:t xml:space="preserve">лагодійним </w:t>
            </w:r>
            <w:r w:rsidRPr="002A479A">
              <w:rPr>
                <w:rFonts w:eastAsia="Times New Roman" w:cs="Times New Roman"/>
                <w:sz w:val="18"/>
                <w:szCs w:val="18"/>
                <w:lang w:val="uk-UA" w:eastAsia="ru-RU"/>
              </w:rPr>
              <w:t>Ф</w:t>
            </w:r>
            <w:r>
              <w:rPr>
                <w:rFonts w:eastAsia="Times New Roman" w:cs="Times New Roman"/>
                <w:sz w:val="18"/>
                <w:szCs w:val="18"/>
                <w:lang w:val="uk-UA" w:eastAsia="ru-RU"/>
              </w:rPr>
              <w:t>ондом</w:t>
            </w:r>
            <w:r w:rsidRPr="002A479A">
              <w:rPr>
                <w:rFonts w:eastAsia="Times New Roman" w:cs="Times New Roman"/>
                <w:sz w:val="18"/>
                <w:szCs w:val="18"/>
                <w:lang w:val="uk-UA" w:eastAsia="ru-RU"/>
              </w:rPr>
              <w:t xml:space="preserve"> «Розвиток України»</w:t>
            </w:r>
          </w:p>
        </w:tc>
        <w:tc>
          <w:tcPr>
            <w:tcW w:w="993" w:type="dxa"/>
            <w:gridSpan w:val="2"/>
            <w:vMerge w:val="restart"/>
            <w:tcBorders>
              <w:top w:val="single" w:sz="4" w:space="0" w:color="auto"/>
              <w:left w:val="nil"/>
              <w:right w:val="single" w:sz="4" w:space="0" w:color="auto"/>
            </w:tcBorders>
            <w:shd w:val="clear" w:color="auto" w:fill="auto"/>
            <w:hideMark/>
          </w:tcPr>
          <w:p w:rsidR="0071068C" w:rsidRPr="002A479A" w:rsidRDefault="0071068C"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Державний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39659,9</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8608,7</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9426,5</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10322,0</w:t>
            </w:r>
          </w:p>
        </w:tc>
        <w:tc>
          <w:tcPr>
            <w:tcW w:w="727" w:type="dxa"/>
            <w:tcBorders>
              <w:top w:val="single" w:sz="4" w:space="0" w:color="auto"/>
              <w:left w:val="nil"/>
              <w:bottom w:val="single" w:sz="4" w:space="0" w:color="auto"/>
              <w:right w:val="single" w:sz="4" w:space="0" w:color="auto"/>
            </w:tcBorders>
            <w:shd w:val="clear" w:color="auto" w:fill="auto"/>
            <w:hideMark/>
          </w:tcPr>
          <w:p w:rsidR="0071068C" w:rsidRPr="002A479A" w:rsidRDefault="0071068C" w:rsidP="006006B7">
            <w:pPr>
              <w:widowControl w:val="0"/>
              <w:spacing w:line="216" w:lineRule="auto"/>
              <w:ind w:left="-113" w:right="-113"/>
              <w:jc w:val="center"/>
              <w:rPr>
                <w:rFonts w:eastAsia="Times New Roman" w:cs="Times New Roman"/>
                <w:sz w:val="20"/>
                <w:szCs w:val="20"/>
                <w:lang w:val="uk-UA" w:eastAsia="ru-RU"/>
              </w:rPr>
            </w:pPr>
            <w:r w:rsidRPr="002A479A">
              <w:rPr>
                <w:rFonts w:eastAsia="Times New Roman" w:cs="Times New Roman"/>
                <w:sz w:val="20"/>
                <w:szCs w:val="20"/>
                <w:lang w:val="uk-UA" w:eastAsia="ru-RU"/>
              </w:rPr>
              <w:t>11302,6</w:t>
            </w:r>
          </w:p>
        </w:tc>
      </w:tr>
      <w:tr w:rsidR="0071068C" w:rsidRPr="002A479A" w:rsidTr="0071068C">
        <w:trPr>
          <w:trHeight w:val="1435"/>
        </w:trPr>
        <w:tc>
          <w:tcPr>
            <w:tcW w:w="1438" w:type="dxa"/>
            <w:vMerge/>
            <w:tcBorders>
              <w:left w:val="single" w:sz="4" w:space="0" w:color="auto"/>
              <w:right w:val="single" w:sz="4" w:space="0" w:color="auto"/>
            </w:tcBorders>
            <w:vAlign w:val="center"/>
            <w:hideMark/>
          </w:tcPr>
          <w:p w:rsidR="0071068C" w:rsidRPr="002A479A" w:rsidRDefault="0071068C" w:rsidP="006006B7">
            <w:pPr>
              <w:widowControl w:val="0"/>
              <w:rPr>
                <w:rFonts w:eastAsia="Times New Roman" w:cs="Times New Roman"/>
                <w:sz w:val="20"/>
                <w:szCs w:val="20"/>
                <w:lang w:val="uk-UA" w:eastAsia="ru-RU"/>
              </w:rPr>
            </w:pP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71068C" w:rsidRPr="002A479A" w:rsidRDefault="0071068C"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Показник успішного лікування (вилікуваних та лікування завершено) серед нових випадків легеневого туберкульозу (%)</w:t>
            </w:r>
          </w:p>
        </w:tc>
        <w:tc>
          <w:tcPr>
            <w:tcW w:w="431" w:type="dxa"/>
            <w:tcBorders>
              <w:top w:val="single" w:sz="4" w:space="0" w:color="auto"/>
              <w:left w:val="nil"/>
              <w:right w:val="single" w:sz="4" w:space="0" w:color="auto"/>
            </w:tcBorders>
            <w:shd w:val="clear" w:color="auto" w:fill="auto"/>
            <w:hideMark/>
          </w:tcPr>
          <w:p w:rsidR="0071068C" w:rsidRPr="002A479A" w:rsidRDefault="0071068C" w:rsidP="006006B7">
            <w:pPr>
              <w:widowControl w:val="0"/>
              <w:spacing w:line="216" w:lineRule="auto"/>
              <w:jc w:val="right"/>
              <w:rPr>
                <w:rFonts w:eastAsia="Times New Roman" w:cs="Times New Roman"/>
                <w:sz w:val="20"/>
                <w:szCs w:val="20"/>
                <w:lang w:val="uk-UA" w:eastAsia="ru-RU"/>
              </w:rPr>
            </w:pPr>
            <w:r w:rsidRPr="002A479A">
              <w:rPr>
                <w:rFonts w:eastAsia="Times New Roman" w:cs="Times New Roman"/>
                <w:sz w:val="20"/>
                <w:szCs w:val="20"/>
                <w:lang w:val="uk-UA" w:eastAsia="ru-RU"/>
              </w:rPr>
              <w:t>80</w:t>
            </w:r>
          </w:p>
          <w:p w:rsidR="0071068C" w:rsidRPr="002A479A" w:rsidRDefault="0071068C"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67" w:type="dxa"/>
            <w:tcBorders>
              <w:top w:val="single" w:sz="4" w:space="0" w:color="auto"/>
              <w:left w:val="nil"/>
              <w:right w:val="single" w:sz="4" w:space="0" w:color="auto"/>
            </w:tcBorders>
            <w:shd w:val="clear" w:color="auto" w:fill="auto"/>
            <w:hideMark/>
          </w:tcPr>
          <w:p w:rsidR="0071068C" w:rsidRPr="002A479A" w:rsidRDefault="0071068C" w:rsidP="006006B7">
            <w:pPr>
              <w:widowControl w:val="0"/>
              <w:spacing w:line="216" w:lineRule="auto"/>
              <w:jc w:val="right"/>
              <w:rPr>
                <w:rFonts w:eastAsia="Times New Roman" w:cs="Times New Roman"/>
                <w:sz w:val="20"/>
                <w:szCs w:val="20"/>
                <w:lang w:val="uk-UA" w:eastAsia="ru-RU"/>
              </w:rPr>
            </w:pPr>
            <w:r w:rsidRPr="002A479A">
              <w:rPr>
                <w:rFonts w:eastAsia="Times New Roman" w:cs="Times New Roman"/>
                <w:sz w:val="20"/>
                <w:szCs w:val="20"/>
                <w:lang w:val="uk-UA" w:eastAsia="ru-RU"/>
              </w:rPr>
              <w:t>65</w:t>
            </w:r>
          </w:p>
          <w:p w:rsidR="0071068C" w:rsidRPr="002A479A" w:rsidRDefault="0071068C"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right w:val="single" w:sz="4" w:space="0" w:color="auto"/>
            </w:tcBorders>
            <w:shd w:val="clear" w:color="auto" w:fill="auto"/>
            <w:hideMark/>
          </w:tcPr>
          <w:p w:rsidR="0071068C" w:rsidRPr="002A479A" w:rsidRDefault="0071068C" w:rsidP="006006B7">
            <w:pPr>
              <w:widowControl w:val="0"/>
              <w:spacing w:line="216" w:lineRule="auto"/>
              <w:jc w:val="right"/>
              <w:rPr>
                <w:rFonts w:eastAsia="Times New Roman" w:cs="Times New Roman"/>
                <w:sz w:val="20"/>
                <w:szCs w:val="20"/>
                <w:lang w:val="uk-UA" w:eastAsia="ru-RU"/>
              </w:rPr>
            </w:pPr>
            <w:r w:rsidRPr="002A479A">
              <w:rPr>
                <w:rFonts w:eastAsia="Times New Roman" w:cs="Times New Roman"/>
                <w:sz w:val="20"/>
                <w:szCs w:val="20"/>
                <w:lang w:val="uk-UA" w:eastAsia="ru-RU"/>
              </w:rPr>
              <w:t>70</w:t>
            </w:r>
          </w:p>
          <w:p w:rsidR="0071068C" w:rsidRPr="002A479A" w:rsidRDefault="0071068C"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67" w:type="dxa"/>
            <w:tcBorders>
              <w:top w:val="single" w:sz="4" w:space="0" w:color="auto"/>
              <w:left w:val="nil"/>
              <w:right w:val="single" w:sz="4" w:space="0" w:color="auto"/>
            </w:tcBorders>
            <w:shd w:val="clear" w:color="auto" w:fill="auto"/>
            <w:hideMark/>
          </w:tcPr>
          <w:p w:rsidR="0071068C" w:rsidRPr="002A479A" w:rsidRDefault="0071068C" w:rsidP="006006B7">
            <w:pPr>
              <w:widowControl w:val="0"/>
              <w:spacing w:line="216" w:lineRule="auto"/>
              <w:jc w:val="right"/>
              <w:rPr>
                <w:rFonts w:eastAsia="Times New Roman" w:cs="Times New Roman"/>
                <w:sz w:val="20"/>
                <w:szCs w:val="20"/>
                <w:lang w:val="uk-UA" w:eastAsia="ru-RU"/>
              </w:rPr>
            </w:pPr>
            <w:r w:rsidRPr="002A479A">
              <w:rPr>
                <w:rFonts w:eastAsia="Times New Roman" w:cs="Times New Roman"/>
                <w:sz w:val="20"/>
                <w:szCs w:val="20"/>
                <w:lang w:val="uk-UA" w:eastAsia="ru-RU"/>
              </w:rPr>
              <w:t>75</w:t>
            </w:r>
          </w:p>
          <w:p w:rsidR="0071068C" w:rsidRPr="002A479A" w:rsidRDefault="0071068C"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right w:val="single" w:sz="4" w:space="0" w:color="auto"/>
            </w:tcBorders>
            <w:shd w:val="clear" w:color="auto" w:fill="auto"/>
            <w:hideMark/>
          </w:tcPr>
          <w:p w:rsidR="0071068C" w:rsidRPr="002A479A" w:rsidRDefault="0071068C" w:rsidP="006006B7">
            <w:pPr>
              <w:widowControl w:val="0"/>
              <w:spacing w:line="216" w:lineRule="auto"/>
              <w:jc w:val="right"/>
              <w:rPr>
                <w:rFonts w:eastAsia="Times New Roman" w:cs="Times New Roman"/>
                <w:sz w:val="20"/>
                <w:szCs w:val="20"/>
                <w:lang w:val="uk-UA" w:eastAsia="ru-RU"/>
              </w:rPr>
            </w:pPr>
            <w:r w:rsidRPr="002A479A">
              <w:rPr>
                <w:rFonts w:eastAsia="Times New Roman" w:cs="Times New Roman"/>
                <w:sz w:val="20"/>
                <w:szCs w:val="20"/>
                <w:lang w:val="uk-UA" w:eastAsia="ru-RU"/>
              </w:rPr>
              <w:t>80</w:t>
            </w:r>
          </w:p>
          <w:p w:rsidR="0071068C" w:rsidRPr="002A479A" w:rsidRDefault="0071068C"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71068C" w:rsidRPr="002A479A" w:rsidRDefault="0071068C"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1068C" w:rsidRPr="002A479A" w:rsidRDefault="0071068C" w:rsidP="006006B7">
            <w:pPr>
              <w:widowControl w:val="0"/>
              <w:spacing w:line="216" w:lineRule="auto"/>
              <w:rPr>
                <w:rFonts w:eastAsia="Times New Roman" w:cs="Times New Roman"/>
                <w:sz w:val="18"/>
                <w:szCs w:val="18"/>
                <w:lang w:val="uk-UA" w:eastAsia="ru-RU"/>
              </w:rPr>
            </w:pPr>
          </w:p>
        </w:tc>
        <w:tc>
          <w:tcPr>
            <w:tcW w:w="993" w:type="dxa"/>
            <w:gridSpan w:val="2"/>
            <w:vMerge/>
            <w:tcBorders>
              <w:left w:val="nil"/>
              <w:right w:val="single" w:sz="4" w:space="0" w:color="auto"/>
            </w:tcBorders>
            <w:shd w:val="clear" w:color="auto" w:fill="auto"/>
            <w:hideMark/>
          </w:tcPr>
          <w:p w:rsidR="0071068C" w:rsidRPr="002A479A" w:rsidRDefault="0071068C" w:rsidP="003800FE">
            <w:pPr>
              <w:widowControl w:val="0"/>
              <w:spacing w:line="216" w:lineRule="auto"/>
              <w:rPr>
                <w:rFonts w:eastAsia="Times New Roman" w:cs="Times New Roman"/>
                <w:sz w:val="18"/>
                <w:szCs w:val="18"/>
                <w:lang w:val="uk-UA" w:eastAsia="ru-RU"/>
              </w:rPr>
            </w:pPr>
          </w:p>
        </w:tc>
        <w:tc>
          <w:tcPr>
            <w:tcW w:w="991" w:type="dxa"/>
            <w:tcBorders>
              <w:top w:val="single" w:sz="4" w:space="0" w:color="auto"/>
              <w:left w:val="nil"/>
              <w:right w:val="single" w:sz="4" w:space="0" w:color="auto"/>
            </w:tcBorders>
            <w:shd w:val="clear" w:color="auto" w:fill="auto"/>
            <w:hideMark/>
          </w:tcPr>
          <w:p w:rsidR="0071068C" w:rsidRPr="002A479A" w:rsidRDefault="0071068C"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Глобальний фонд</w:t>
            </w:r>
          </w:p>
        </w:tc>
        <w:tc>
          <w:tcPr>
            <w:tcW w:w="3950" w:type="dxa"/>
            <w:gridSpan w:val="11"/>
            <w:tcBorders>
              <w:top w:val="single" w:sz="4" w:space="0" w:color="auto"/>
              <w:left w:val="nil"/>
              <w:right w:val="single" w:sz="4" w:space="0" w:color="auto"/>
            </w:tcBorders>
            <w:shd w:val="clear" w:color="auto" w:fill="auto"/>
            <w:hideMark/>
          </w:tcPr>
          <w:p w:rsidR="0071068C" w:rsidRPr="002A479A" w:rsidRDefault="0071068C"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проектів за підтримки Глобального фонду</w:t>
            </w:r>
          </w:p>
        </w:tc>
      </w:tr>
      <w:tr w:rsidR="0037241B" w:rsidRPr="002A479A" w:rsidTr="003800FE">
        <w:trPr>
          <w:trHeight w:val="1824"/>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протитуберкульозних закладів, у яких видатки на патогенетичне лікування відповідають розрахунковим потребам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2. Забезпечити доступ хворих на туберкульоз до патогенетичного лікування</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422,7</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91,8</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100,5</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110,0</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120,5</w:t>
            </w:r>
          </w:p>
        </w:tc>
      </w:tr>
      <w:tr w:rsidR="0037241B" w:rsidRPr="002A479A" w:rsidTr="003800FE">
        <w:trPr>
          <w:trHeight w:val="1794"/>
        </w:trPr>
        <w:tc>
          <w:tcPr>
            <w:tcW w:w="1438" w:type="dxa"/>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Відсоток вилікуваних хворих 1, 2, 4 категорії за допомогою хірургічних методів   від тих, яким було проведено оперативне втручання (%)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3.Забезпечити доступ до хірургічного лікування хворих на  туберкульоз легень та </w:t>
            </w:r>
            <w:proofErr w:type="spellStart"/>
            <w:r w:rsidRPr="002A479A">
              <w:rPr>
                <w:rFonts w:eastAsia="Times New Roman" w:cs="Times New Roman"/>
                <w:sz w:val="20"/>
                <w:szCs w:val="20"/>
                <w:lang w:val="uk-UA" w:eastAsia="ru-RU"/>
              </w:rPr>
              <w:t>позалегеневий</w:t>
            </w:r>
            <w:proofErr w:type="spellEnd"/>
            <w:r w:rsidRPr="002A479A">
              <w:rPr>
                <w:rFonts w:eastAsia="Times New Roman" w:cs="Times New Roman"/>
                <w:sz w:val="20"/>
                <w:szCs w:val="20"/>
                <w:lang w:val="uk-UA" w:eastAsia="ru-RU"/>
              </w:rPr>
              <w:t xml:space="preserve"> туберкульоз в тому числі хворих на </w:t>
            </w:r>
            <w:proofErr w:type="spellStart"/>
            <w:r w:rsidRPr="002A479A">
              <w:rPr>
                <w:rFonts w:eastAsia="Times New Roman" w:cs="Times New Roman"/>
                <w:sz w:val="20"/>
                <w:szCs w:val="20"/>
                <w:lang w:val="uk-UA" w:eastAsia="ru-RU"/>
              </w:rPr>
              <w:t>мультирезистентний</w:t>
            </w:r>
            <w:proofErr w:type="spellEnd"/>
            <w:r w:rsidRPr="002A479A">
              <w:rPr>
                <w:rFonts w:eastAsia="Times New Roman" w:cs="Times New Roman"/>
                <w:sz w:val="20"/>
                <w:szCs w:val="20"/>
                <w:lang w:val="uk-UA" w:eastAsia="ru-RU"/>
              </w:rPr>
              <w:t xml:space="preserve"> туберкульоз</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391,6</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85,0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93,1</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101,9</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111,6</w:t>
            </w:r>
          </w:p>
        </w:tc>
      </w:tr>
      <w:tr w:rsidR="0037241B" w:rsidRPr="002A479A" w:rsidTr="003800FE">
        <w:trPr>
          <w:trHeight w:val="840"/>
        </w:trPr>
        <w:tc>
          <w:tcPr>
            <w:tcW w:w="1438" w:type="dxa"/>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lastRenderedPageBreak/>
              <w:t> </w:t>
            </w:r>
          </w:p>
        </w:tc>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протитуберкульозних закладів, у яких видатки на харчування відповідають нормативним (%)</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50</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85</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4. Забезпечити повноцінне харчування хворих на туберкульоз, які лікуються стаціонарно</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19995,7</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3110,5</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5126,0</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5613,0</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6146,2</w:t>
            </w:r>
          </w:p>
        </w:tc>
      </w:tr>
      <w:tr w:rsidR="0037241B" w:rsidRPr="002A479A" w:rsidTr="003800FE">
        <w:trPr>
          <w:trHeight w:val="571"/>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1209,5</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260,8</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288,0</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315,4</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345,3</w:t>
            </w:r>
          </w:p>
        </w:tc>
      </w:tr>
      <w:tr w:rsidR="0037241B" w:rsidRPr="002A479A" w:rsidTr="003800FE">
        <w:trPr>
          <w:trHeight w:val="2635"/>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хворих на туберкульоз 1-4, які отримали контрольоване лікування на амбулаторному етапі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75</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85</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2685" w:type="dxa"/>
            <w:gridSpan w:val="2"/>
            <w:tcBorders>
              <w:top w:val="single" w:sz="4" w:space="0" w:color="auto"/>
              <w:left w:val="nil"/>
              <w:bottom w:val="single" w:sz="4" w:space="0" w:color="auto"/>
              <w:right w:val="nil"/>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5. Забезпечити проведення амбулаторно контрольованого лікування хворих на туберкульоз на рівні закладів первинної медико-санітарної ланки, організувати створення та належну роботу кабінетів контрольованого лікування в загально лікувальній мережі шляхом укомплектування відповідно табелю оснащення та приведення відповідно санітарно-гігієнічним вимогам</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райдержадміністрації, міськвиконкоми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586,5</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127,3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139,4</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152,6</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167,1</w:t>
            </w:r>
          </w:p>
        </w:tc>
      </w:tr>
      <w:tr w:rsidR="0037241B" w:rsidRPr="002A479A" w:rsidTr="003800FE">
        <w:trPr>
          <w:trHeight w:val="1213"/>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Показник перерваного лікування серед нових випадків легеневого туберкульозу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6,8</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6,5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6. Забезпечити соціальну підтримку для  формування прихильності хворих до безперервного лікування  на амбулаторному етапі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3800FE">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r w:rsidR="003800FE" w:rsidRPr="002A479A">
              <w:rPr>
                <w:rFonts w:eastAsia="Times New Roman" w:cs="Times New Roman"/>
                <w:sz w:val="18"/>
                <w:szCs w:val="18"/>
                <w:lang w:val="uk-UA" w:eastAsia="ru-RU"/>
              </w:rPr>
              <w:t xml:space="preserve"> </w:t>
            </w:r>
            <w:r w:rsidR="003800FE">
              <w:rPr>
                <w:rFonts w:eastAsia="Times New Roman" w:cs="Times New Roman"/>
                <w:sz w:val="18"/>
                <w:szCs w:val="18"/>
                <w:lang w:val="uk-UA" w:eastAsia="ru-RU"/>
              </w:rPr>
              <w:t xml:space="preserve">сумісно з </w:t>
            </w:r>
            <w:r w:rsidR="003800FE" w:rsidRPr="002A479A">
              <w:rPr>
                <w:rFonts w:eastAsia="Times New Roman" w:cs="Times New Roman"/>
                <w:sz w:val="18"/>
                <w:szCs w:val="18"/>
                <w:lang w:val="uk-UA" w:eastAsia="ru-RU"/>
              </w:rPr>
              <w:t>неурядов</w:t>
            </w:r>
            <w:r w:rsidR="003800FE">
              <w:rPr>
                <w:rFonts w:eastAsia="Times New Roman" w:cs="Times New Roman"/>
                <w:sz w:val="18"/>
                <w:szCs w:val="18"/>
                <w:lang w:val="uk-UA" w:eastAsia="ru-RU"/>
              </w:rPr>
              <w:t>ими</w:t>
            </w:r>
            <w:r w:rsidR="003800FE" w:rsidRPr="002A479A">
              <w:rPr>
                <w:rFonts w:eastAsia="Times New Roman" w:cs="Times New Roman"/>
                <w:sz w:val="18"/>
                <w:szCs w:val="18"/>
                <w:lang w:val="uk-UA" w:eastAsia="ru-RU"/>
              </w:rPr>
              <w:t xml:space="preserve"> громадськ</w:t>
            </w:r>
            <w:r w:rsidR="003800FE">
              <w:rPr>
                <w:rFonts w:eastAsia="Times New Roman" w:cs="Times New Roman"/>
                <w:sz w:val="18"/>
                <w:szCs w:val="18"/>
                <w:lang w:val="uk-UA" w:eastAsia="ru-RU"/>
              </w:rPr>
              <w:t>ими</w:t>
            </w:r>
            <w:r w:rsidR="003800FE" w:rsidRPr="002A479A">
              <w:rPr>
                <w:rFonts w:eastAsia="Times New Roman" w:cs="Times New Roman"/>
                <w:sz w:val="18"/>
                <w:szCs w:val="18"/>
                <w:lang w:val="uk-UA" w:eastAsia="ru-RU"/>
              </w:rPr>
              <w:t xml:space="preserve"> організаці</w:t>
            </w:r>
            <w:r w:rsidR="003800FE">
              <w:rPr>
                <w:rFonts w:eastAsia="Times New Roman" w:cs="Times New Roman"/>
                <w:sz w:val="18"/>
                <w:szCs w:val="18"/>
                <w:lang w:val="uk-UA" w:eastAsia="ru-RU"/>
              </w:rPr>
              <w:t>ями</w:t>
            </w:r>
            <w:r w:rsidR="003800FE" w:rsidRPr="002A479A">
              <w:rPr>
                <w:rFonts w:eastAsia="Times New Roman" w:cs="Times New Roman"/>
                <w:sz w:val="18"/>
                <w:szCs w:val="18"/>
                <w:lang w:val="uk-UA" w:eastAsia="ru-RU"/>
              </w:rPr>
              <w:t xml:space="preserve"> (далі – НУО)</w:t>
            </w:r>
            <w:r w:rsidRPr="002A479A">
              <w:rPr>
                <w:rFonts w:eastAsia="Times New Roman" w:cs="Times New Roman"/>
                <w:sz w:val="18"/>
                <w:szCs w:val="18"/>
                <w:lang w:val="uk-UA" w:eastAsia="ru-RU"/>
              </w:rPr>
              <w:t>, райдер</w:t>
            </w:r>
            <w:r w:rsidR="003800FE">
              <w:rPr>
                <w:rFonts w:eastAsia="Times New Roman" w:cs="Times New Roman"/>
                <w:sz w:val="18"/>
                <w:szCs w:val="18"/>
                <w:lang w:val="uk-UA" w:eastAsia="ru-RU"/>
              </w:rPr>
              <w:t>жадміністрації, міськвиконкоми,</w:t>
            </w:r>
            <w:r w:rsidRPr="002A479A">
              <w:rPr>
                <w:rFonts w:eastAsia="Times New Roman" w:cs="Times New Roman"/>
                <w:sz w:val="18"/>
                <w:szCs w:val="18"/>
                <w:lang w:val="uk-UA" w:eastAsia="ru-RU"/>
              </w:rPr>
              <w:t xml:space="preserve">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83,8</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18,2</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19,9</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21,8</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23,9</w:t>
            </w:r>
          </w:p>
        </w:tc>
      </w:tr>
      <w:tr w:rsidR="0037241B" w:rsidRPr="002A479A" w:rsidTr="003800FE">
        <w:trPr>
          <w:trHeight w:val="1232"/>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Показник перерваного лікування серед  випадків повторного лікування легеневого туберкульозу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11,2</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10,5</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w:t>
            </w: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1" w:type="dxa"/>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Інші джерела фінансування</w:t>
            </w:r>
          </w:p>
        </w:tc>
        <w:tc>
          <w:tcPr>
            <w:tcW w:w="993" w:type="dxa"/>
            <w:gridSpan w:val="2"/>
            <w:vMerge w:val="restart"/>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5,5</w:t>
            </w:r>
          </w:p>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812" w:type="dxa"/>
            <w:gridSpan w:val="3"/>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1,2</w:t>
            </w:r>
          </w:p>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709" w:type="dxa"/>
            <w:gridSpan w:val="2"/>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1,3</w:t>
            </w:r>
          </w:p>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709" w:type="dxa"/>
            <w:gridSpan w:val="3"/>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1,4</w:t>
            </w:r>
          </w:p>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727" w:type="dxa"/>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1,6</w:t>
            </w:r>
          </w:p>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r>
      <w:tr w:rsidR="0037241B" w:rsidRPr="002A479A" w:rsidTr="003800FE">
        <w:trPr>
          <w:trHeight w:val="696"/>
        </w:trPr>
        <w:tc>
          <w:tcPr>
            <w:tcW w:w="1438" w:type="dxa"/>
            <w:tcBorders>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Відсоток хворих на </w:t>
            </w:r>
            <w:proofErr w:type="spellStart"/>
            <w:r w:rsidRPr="002A479A">
              <w:rPr>
                <w:rFonts w:eastAsia="Times New Roman" w:cs="Times New Roman"/>
                <w:sz w:val="20"/>
                <w:szCs w:val="20"/>
                <w:lang w:val="uk-UA" w:eastAsia="ru-RU"/>
              </w:rPr>
              <w:t>МР</w:t>
            </w:r>
            <w:proofErr w:type="spellEnd"/>
            <w:r w:rsidRPr="002A479A">
              <w:rPr>
                <w:rFonts w:eastAsia="Times New Roman" w:cs="Times New Roman"/>
                <w:sz w:val="20"/>
                <w:szCs w:val="20"/>
                <w:lang w:val="uk-UA" w:eastAsia="ru-RU"/>
              </w:rPr>
              <w:t xml:space="preserve"> ТБ, що отримують соціальну допомогу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1" w:type="dxa"/>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3" w:type="dxa"/>
            <w:gridSpan w:val="2"/>
            <w:vMerge/>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812" w:type="dxa"/>
            <w:gridSpan w:val="3"/>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709" w:type="dxa"/>
            <w:gridSpan w:val="2"/>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709" w:type="dxa"/>
            <w:gridSpan w:val="3"/>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727" w:type="dxa"/>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r>
      <w:tr w:rsidR="0037241B" w:rsidRPr="002A479A" w:rsidTr="006C55B6">
        <w:trPr>
          <w:trHeight w:val="2260"/>
        </w:trPr>
        <w:tc>
          <w:tcPr>
            <w:tcW w:w="1438" w:type="dxa"/>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Показник доходження хворих на туберкульоз, звільнених з пенітенціарних установ області осіб для продовження лікування в стаціонарних амбулаторних умовах (особи)</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360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3800FE">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7. Забезпечити соціальну підтримку з метою  формування прихильності для продовження лікування після звільнення</w:t>
            </w:r>
          </w:p>
        </w:tc>
        <w:tc>
          <w:tcPr>
            <w:tcW w:w="1134" w:type="dxa"/>
            <w:vMerge w:val="restart"/>
            <w:tcBorders>
              <w:top w:val="single" w:sz="4" w:space="0" w:color="auto"/>
              <w:left w:val="single" w:sz="4" w:space="0" w:color="auto"/>
              <w:bottom w:val="single" w:sz="4" w:space="0" w:color="auto"/>
              <w:right w:val="nil"/>
            </w:tcBorders>
            <w:shd w:val="clear" w:color="auto" w:fill="auto"/>
            <w:hideMark/>
          </w:tcPr>
          <w:p w:rsidR="0037241B" w:rsidRPr="002A479A" w:rsidRDefault="0037241B" w:rsidP="003800FE">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r w:rsidR="003800FE">
              <w:rPr>
                <w:rFonts w:eastAsia="Times New Roman" w:cs="Times New Roman"/>
                <w:sz w:val="18"/>
                <w:szCs w:val="18"/>
                <w:lang w:val="uk-UA" w:eastAsia="ru-RU"/>
              </w:rPr>
              <w:t xml:space="preserve"> сумісно з </w:t>
            </w:r>
            <w:r w:rsidRPr="002A479A">
              <w:rPr>
                <w:rFonts w:eastAsia="Times New Roman" w:cs="Times New Roman"/>
                <w:sz w:val="18"/>
                <w:szCs w:val="18"/>
                <w:lang w:val="uk-UA" w:eastAsia="ru-RU"/>
              </w:rPr>
              <w:t>Управління</w:t>
            </w:r>
            <w:r w:rsidR="003800FE">
              <w:rPr>
                <w:rFonts w:eastAsia="Times New Roman" w:cs="Times New Roman"/>
                <w:sz w:val="18"/>
                <w:szCs w:val="18"/>
                <w:lang w:val="uk-UA" w:eastAsia="ru-RU"/>
              </w:rPr>
              <w:t>м</w:t>
            </w:r>
            <w:r w:rsidRPr="002A479A">
              <w:rPr>
                <w:rFonts w:eastAsia="Times New Roman" w:cs="Times New Roman"/>
                <w:sz w:val="18"/>
                <w:szCs w:val="18"/>
                <w:lang w:val="uk-UA" w:eastAsia="ru-RU"/>
              </w:rPr>
              <w:t xml:space="preserve"> Державної пенітенціарної служби України в Полтавській </w:t>
            </w:r>
            <w:r w:rsidRPr="002A479A">
              <w:rPr>
                <w:rFonts w:eastAsia="Times New Roman" w:cs="Times New Roman"/>
                <w:sz w:val="18"/>
                <w:szCs w:val="18"/>
                <w:lang w:val="uk-UA" w:eastAsia="ru-RU"/>
              </w:rPr>
              <w:lastRenderedPageBreak/>
              <w:t>області, Управління</w:t>
            </w:r>
            <w:r w:rsidR="003800FE">
              <w:rPr>
                <w:rFonts w:eastAsia="Times New Roman" w:cs="Times New Roman"/>
                <w:sz w:val="18"/>
                <w:szCs w:val="18"/>
                <w:lang w:val="uk-UA" w:eastAsia="ru-RU"/>
              </w:rPr>
              <w:t>м</w:t>
            </w:r>
            <w:r w:rsidRPr="002A479A">
              <w:rPr>
                <w:rFonts w:eastAsia="Times New Roman" w:cs="Times New Roman"/>
                <w:sz w:val="18"/>
                <w:szCs w:val="18"/>
                <w:lang w:val="uk-UA" w:eastAsia="ru-RU"/>
              </w:rPr>
              <w:t xml:space="preserve"> Міністерства внутрішніх справ України в Полтавській області, </w:t>
            </w:r>
            <w:r w:rsidR="003800FE">
              <w:rPr>
                <w:rFonts w:eastAsia="Times New Roman" w:cs="Times New Roman"/>
                <w:sz w:val="18"/>
                <w:szCs w:val="18"/>
                <w:lang w:val="uk-UA" w:eastAsia="ru-RU"/>
              </w:rPr>
              <w:t>НУО</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lastRenderedPageBreak/>
              <w:t>Протягом 2013-2016 років</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Глобальний фонд</w:t>
            </w:r>
          </w:p>
        </w:tc>
        <w:tc>
          <w:tcPr>
            <w:tcW w:w="3950" w:type="dxa"/>
            <w:gridSpan w:val="11"/>
            <w:vMerge w:val="restart"/>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проектів за підтримки Глобального фонду</w:t>
            </w:r>
          </w:p>
        </w:tc>
      </w:tr>
      <w:tr w:rsidR="0037241B" w:rsidRPr="002A479A" w:rsidTr="003800FE">
        <w:trPr>
          <w:trHeight w:val="2805"/>
        </w:trPr>
        <w:tc>
          <w:tcPr>
            <w:tcW w:w="1438"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lastRenderedPageBreak/>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доходження хворих на туберкульоз, звільнених з пенітенціарних установ для продовження лікування в стаціонарних, амбулаторних умовах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72</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74</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75</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8. Забезпечити супровід хворих на ТБ осіб, з моменту звільнення до місця продовження лікування в закладах охорони здоров’я</w:t>
            </w:r>
          </w:p>
        </w:tc>
        <w:tc>
          <w:tcPr>
            <w:tcW w:w="1134" w:type="dxa"/>
            <w:vMerge/>
            <w:tcBorders>
              <w:top w:val="single" w:sz="4" w:space="0" w:color="auto"/>
              <w:left w:val="single" w:sz="4" w:space="0" w:color="auto"/>
              <w:bottom w:val="single" w:sz="4" w:space="0" w:color="auto"/>
              <w:right w:val="nil"/>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3950" w:type="dxa"/>
            <w:gridSpan w:val="11"/>
            <w:vMerge/>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r>
      <w:tr w:rsidR="00A032F5" w:rsidRPr="002A479A" w:rsidTr="00A032F5">
        <w:trPr>
          <w:trHeight w:val="2002"/>
        </w:trPr>
        <w:tc>
          <w:tcPr>
            <w:tcW w:w="1438" w:type="dxa"/>
            <w:vMerge w:val="restart"/>
            <w:tcBorders>
              <w:top w:val="single" w:sz="4" w:space="0" w:color="auto"/>
              <w:left w:val="single" w:sz="4" w:space="0" w:color="auto"/>
              <w:right w:val="single" w:sz="4" w:space="0" w:color="auto"/>
            </w:tcBorders>
            <w:shd w:val="clear" w:color="auto" w:fill="auto"/>
            <w:hideMark/>
          </w:tcPr>
          <w:p w:rsidR="00A032F5" w:rsidRPr="002A479A" w:rsidRDefault="00A032F5"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lastRenderedPageBreak/>
              <w:t xml:space="preserve">5. Протидія поширенню </w:t>
            </w:r>
            <w:proofErr w:type="spellStart"/>
            <w:r w:rsidRPr="002A479A">
              <w:rPr>
                <w:rFonts w:eastAsia="Times New Roman" w:cs="Times New Roman"/>
                <w:sz w:val="20"/>
                <w:szCs w:val="20"/>
                <w:lang w:val="uk-UA" w:eastAsia="ru-RU"/>
              </w:rPr>
              <w:t>мультирезистентного</w:t>
            </w:r>
            <w:proofErr w:type="spellEnd"/>
            <w:r w:rsidRPr="002A479A">
              <w:rPr>
                <w:rFonts w:eastAsia="Times New Roman" w:cs="Times New Roman"/>
                <w:sz w:val="20"/>
                <w:szCs w:val="20"/>
                <w:lang w:val="uk-UA" w:eastAsia="ru-RU"/>
              </w:rPr>
              <w:t xml:space="preserve"> туберкульозу та туберкульозу з розширеною медикаментозною резистентністю</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Кількість регіонів, у яких функціонують відділення для лікування хворих на  </w:t>
            </w:r>
            <w:proofErr w:type="spellStart"/>
            <w:r w:rsidRPr="002A479A">
              <w:rPr>
                <w:rFonts w:eastAsia="Times New Roman" w:cs="Times New Roman"/>
                <w:sz w:val="20"/>
                <w:szCs w:val="20"/>
                <w:lang w:val="uk-UA" w:eastAsia="ru-RU"/>
              </w:rPr>
              <w:t>мультирезистентний</w:t>
            </w:r>
            <w:proofErr w:type="spellEnd"/>
            <w:r w:rsidRPr="002A479A">
              <w:rPr>
                <w:rFonts w:eastAsia="Times New Roman" w:cs="Times New Roman"/>
                <w:sz w:val="20"/>
                <w:szCs w:val="20"/>
                <w:lang w:val="uk-UA" w:eastAsia="ru-RU"/>
              </w:rPr>
              <w:t xml:space="preserve"> туберкульоз у відповідності до потреб у стаціонарному лікуванні </w:t>
            </w:r>
          </w:p>
        </w:tc>
        <w:tc>
          <w:tcPr>
            <w:tcW w:w="431" w:type="dxa"/>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w:t>
            </w:r>
          </w:p>
        </w:tc>
        <w:tc>
          <w:tcPr>
            <w:tcW w:w="467" w:type="dxa"/>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31" w:type="dxa"/>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w:t>
            </w:r>
          </w:p>
        </w:tc>
        <w:tc>
          <w:tcPr>
            <w:tcW w:w="431" w:type="dxa"/>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w:t>
            </w:r>
          </w:p>
        </w:tc>
        <w:tc>
          <w:tcPr>
            <w:tcW w:w="2685" w:type="dxa"/>
            <w:gridSpan w:val="2"/>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1. Підтримувати функціонування відділення для лікування хворих на  </w:t>
            </w:r>
            <w:proofErr w:type="spellStart"/>
            <w:r w:rsidRPr="002A479A">
              <w:rPr>
                <w:rFonts w:eastAsia="Times New Roman" w:cs="Times New Roman"/>
                <w:sz w:val="20"/>
                <w:szCs w:val="20"/>
                <w:lang w:val="uk-UA" w:eastAsia="ru-RU"/>
              </w:rPr>
              <w:t>мультирезистентний</w:t>
            </w:r>
            <w:proofErr w:type="spellEnd"/>
            <w:r w:rsidRPr="002A479A">
              <w:rPr>
                <w:rFonts w:eastAsia="Times New Roman" w:cs="Times New Roman"/>
                <w:sz w:val="20"/>
                <w:szCs w:val="20"/>
                <w:lang w:val="uk-UA" w:eastAsia="ru-RU"/>
              </w:rPr>
              <w:t xml:space="preserve"> туберкульоз на базі Кременчуцького ОТД та відкрити на базі Полтавського ОТД, </w:t>
            </w:r>
            <w:proofErr w:type="spellStart"/>
            <w:r w:rsidRPr="002A479A">
              <w:rPr>
                <w:rFonts w:eastAsia="Times New Roman" w:cs="Times New Roman"/>
                <w:sz w:val="20"/>
                <w:szCs w:val="20"/>
                <w:lang w:val="uk-UA" w:eastAsia="ru-RU"/>
              </w:rPr>
              <w:t>Опішнянської</w:t>
            </w:r>
            <w:proofErr w:type="spellEnd"/>
            <w:r w:rsidRPr="002A479A">
              <w:rPr>
                <w:rFonts w:eastAsia="Times New Roman" w:cs="Times New Roman"/>
                <w:sz w:val="20"/>
                <w:szCs w:val="20"/>
                <w:lang w:val="uk-UA" w:eastAsia="ru-RU"/>
              </w:rPr>
              <w:t xml:space="preserve"> туберкульозної лікарні</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A032F5">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 Управління капітального будівництва облдержадміністрації</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3950" w:type="dxa"/>
            <w:gridSpan w:val="11"/>
            <w:tcBorders>
              <w:top w:val="single" w:sz="4" w:space="0" w:color="auto"/>
              <w:left w:val="nil"/>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видатків обласного бюджету</w:t>
            </w:r>
          </w:p>
        </w:tc>
      </w:tr>
      <w:tr w:rsidR="0037241B" w:rsidRPr="002A479A" w:rsidTr="00A032F5">
        <w:trPr>
          <w:trHeight w:val="1196"/>
        </w:trPr>
        <w:tc>
          <w:tcPr>
            <w:tcW w:w="1438" w:type="dxa"/>
            <w:vMerge/>
            <w:tcBorders>
              <w:left w:val="single" w:sz="4" w:space="0" w:color="auto"/>
              <w:right w:val="single" w:sz="4" w:space="0" w:color="auto"/>
            </w:tcBorders>
            <w:vAlign w:val="center"/>
            <w:hideMark/>
          </w:tcPr>
          <w:p w:rsidR="0037241B" w:rsidRPr="002A479A" w:rsidRDefault="0037241B" w:rsidP="006006B7">
            <w:pPr>
              <w:widowControl w:val="0"/>
              <w:rPr>
                <w:rFonts w:eastAsia="Times New Roman" w:cs="Times New Roman"/>
                <w:sz w:val="20"/>
                <w:szCs w:val="20"/>
                <w:lang w:val="uk-UA" w:eastAsia="ru-RU"/>
              </w:rPr>
            </w:pP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Забезпечення необхідними препаратами для надання паліативної допомоги згідно до потреби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2. Забезпечити надання </w:t>
            </w:r>
            <w:proofErr w:type="spellStart"/>
            <w:r w:rsidRPr="002A479A">
              <w:rPr>
                <w:rFonts w:eastAsia="Times New Roman" w:cs="Times New Roman"/>
                <w:sz w:val="20"/>
                <w:szCs w:val="20"/>
                <w:lang w:val="uk-UA" w:eastAsia="ru-RU"/>
              </w:rPr>
              <w:t>хоспісної</w:t>
            </w:r>
            <w:proofErr w:type="spellEnd"/>
            <w:r w:rsidRPr="002A479A">
              <w:rPr>
                <w:rFonts w:eastAsia="Times New Roman" w:cs="Times New Roman"/>
                <w:sz w:val="20"/>
                <w:szCs w:val="20"/>
                <w:lang w:val="uk-UA" w:eastAsia="ru-RU"/>
              </w:rPr>
              <w:t xml:space="preserve"> та паліативної допомоги хворим на туберкульоз</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322,5</w:t>
            </w:r>
          </w:p>
        </w:tc>
        <w:tc>
          <w:tcPr>
            <w:tcW w:w="812" w:type="dxa"/>
            <w:gridSpan w:val="3"/>
            <w:tcBorders>
              <w:top w:val="single" w:sz="4" w:space="0" w:color="auto"/>
              <w:left w:val="nil"/>
              <w:bottom w:val="single" w:sz="4" w:space="0" w:color="auto"/>
              <w:right w:val="nil"/>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76,7</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83,9</w:t>
            </w:r>
          </w:p>
        </w:tc>
        <w:tc>
          <w:tcPr>
            <w:tcW w:w="72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91,9</w:t>
            </w:r>
          </w:p>
        </w:tc>
      </w:tr>
      <w:tr w:rsidR="0037241B" w:rsidRPr="002A479A" w:rsidTr="00A032F5">
        <w:trPr>
          <w:trHeight w:val="930"/>
        </w:trPr>
        <w:tc>
          <w:tcPr>
            <w:tcW w:w="1438" w:type="dxa"/>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Відсоток хворих з  новими випадками </w:t>
            </w:r>
            <w:proofErr w:type="spellStart"/>
            <w:r w:rsidRPr="002A479A">
              <w:rPr>
                <w:rFonts w:eastAsia="Times New Roman" w:cs="Times New Roman"/>
                <w:sz w:val="20"/>
                <w:szCs w:val="20"/>
                <w:lang w:val="uk-UA" w:eastAsia="ru-RU"/>
              </w:rPr>
              <w:t>мультирезистентного</w:t>
            </w:r>
            <w:proofErr w:type="spellEnd"/>
            <w:r w:rsidRPr="002A479A">
              <w:rPr>
                <w:rFonts w:eastAsia="Times New Roman" w:cs="Times New Roman"/>
                <w:sz w:val="20"/>
                <w:szCs w:val="20"/>
                <w:lang w:val="uk-UA" w:eastAsia="ru-RU"/>
              </w:rPr>
              <w:t xml:space="preserve"> туберкульозу, які розпочали лікування відповідно до затверджених схем та забезпечені протитуберкульозними препаратами ІІ ряду (%)</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75</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85</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3. Розширити доступ до ефективного лікування хворих на </w:t>
            </w:r>
            <w:proofErr w:type="spellStart"/>
            <w:r w:rsidRPr="002A479A">
              <w:rPr>
                <w:rFonts w:eastAsia="Times New Roman" w:cs="Times New Roman"/>
                <w:sz w:val="20"/>
                <w:szCs w:val="20"/>
                <w:lang w:val="uk-UA" w:eastAsia="ru-RU"/>
              </w:rPr>
              <w:t>хіміорезистентний</w:t>
            </w:r>
            <w:proofErr w:type="spellEnd"/>
            <w:r w:rsidRPr="002A479A">
              <w:rPr>
                <w:rFonts w:eastAsia="Times New Roman" w:cs="Times New Roman"/>
                <w:sz w:val="20"/>
                <w:szCs w:val="20"/>
                <w:lang w:val="uk-UA" w:eastAsia="ru-RU"/>
              </w:rPr>
              <w:t xml:space="preserve"> туберкульоз шляхом замовлення, отримання та розподілу необхідної кількості протитуберкульозних препаратів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A032F5">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r w:rsidR="00A032F5">
              <w:rPr>
                <w:rFonts w:eastAsia="Times New Roman" w:cs="Times New Roman"/>
                <w:sz w:val="18"/>
                <w:szCs w:val="18"/>
                <w:lang w:val="uk-UA" w:eastAsia="ru-RU"/>
              </w:rPr>
              <w:t xml:space="preserve"> сумісно з Благодійною асоціацією </w:t>
            </w:r>
            <w:r w:rsidRPr="002A479A">
              <w:rPr>
                <w:rFonts w:eastAsia="Times New Roman" w:cs="Times New Roman"/>
                <w:sz w:val="18"/>
                <w:szCs w:val="18"/>
                <w:lang w:val="uk-UA" w:eastAsia="ru-RU"/>
              </w:rPr>
              <w:t>«Розвиток України»</w:t>
            </w:r>
          </w:p>
        </w:tc>
        <w:tc>
          <w:tcPr>
            <w:tcW w:w="993" w:type="dxa"/>
            <w:gridSpan w:val="2"/>
            <w:vMerge w:val="restart"/>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Державний бюджет</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видатків державного бюджету</w:t>
            </w:r>
          </w:p>
        </w:tc>
      </w:tr>
      <w:tr w:rsidR="0037241B" w:rsidRPr="002A479A" w:rsidTr="00A032F5">
        <w:trPr>
          <w:trHeight w:val="870"/>
        </w:trPr>
        <w:tc>
          <w:tcPr>
            <w:tcW w:w="1438" w:type="dxa"/>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Глобальний фонд</w:t>
            </w:r>
          </w:p>
        </w:tc>
        <w:tc>
          <w:tcPr>
            <w:tcW w:w="3950" w:type="dxa"/>
            <w:gridSpan w:val="11"/>
            <w:vMerge w:val="restart"/>
            <w:tcBorders>
              <w:top w:val="single" w:sz="4" w:space="0" w:color="auto"/>
              <w:left w:val="nil"/>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проектів за підтримки Глобального фонду</w:t>
            </w:r>
          </w:p>
        </w:tc>
      </w:tr>
      <w:tr w:rsidR="0037241B" w:rsidRPr="002A479A" w:rsidTr="00A032F5">
        <w:trPr>
          <w:trHeight w:val="512"/>
        </w:trPr>
        <w:tc>
          <w:tcPr>
            <w:tcW w:w="1438" w:type="dxa"/>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431"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1" w:type="dxa"/>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3950" w:type="dxa"/>
            <w:gridSpan w:val="11"/>
            <w:vMerge/>
            <w:tcBorders>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r>
      <w:tr w:rsidR="0037241B" w:rsidRPr="002A479A" w:rsidTr="00A032F5">
        <w:trPr>
          <w:trHeight w:val="1417"/>
        </w:trPr>
        <w:tc>
          <w:tcPr>
            <w:tcW w:w="1438" w:type="dxa"/>
            <w:tcBorders>
              <w:left w:val="single" w:sz="4" w:space="0" w:color="auto"/>
              <w:bottom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Показник успішного лікування (вилікуваних та лікування завершено) серед нових випадків </w:t>
            </w:r>
            <w:proofErr w:type="spellStart"/>
            <w:r w:rsidRPr="002A479A">
              <w:rPr>
                <w:rFonts w:eastAsia="Times New Roman" w:cs="Times New Roman"/>
                <w:sz w:val="20"/>
                <w:szCs w:val="20"/>
                <w:lang w:val="uk-UA" w:eastAsia="ru-RU"/>
              </w:rPr>
              <w:t>МР</w:t>
            </w:r>
            <w:proofErr w:type="spellEnd"/>
            <w:r w:rsidRPr="002A479A">
              <w:rPr>
                <w:rFonts w:eastAsia="Times New Roman" w:cs="Times New Roman"/>
                <w:sz w:val="20"/>
                <w:szCs w:val="20"/>
                <w:lang w:val="uk-UA" w:eastAsia="ru-RU"/>
              </w:rPr>
              <w:t xml:space="preserve"> ТБ, які розпочали лікування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35</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45</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4. Забезпечити доступ хворих на МРТБ до лікування відповідно до Стандарту надання медичної допомоги хворим на </w:t>
            </w:r>
            <w:proofErr w:type="spellStart"/>
            <w:r w:rsidRPr="002A479A">
              <w:rPr>
                <w:rFonts w:eastAsia="Times New Roman" w:cs="Times New Roman"/>
                <w:sz w:val="20"/>
                <w:szCs w:val="20"/>
                <w:lang w:val="uk-UA" w:eastAsia="ru-RU"/>
              </w:rPr>
              <w:t>хіміорезистентний</w:t>
            </w:r>
            <w:proofErr w:type="spellEnd"/>
            <w:r w:rsidRPr="002A479A">
              <w:rPr>
                <w:rFonts w:eastAsia="Times New Roman" w:cs="Times New Roman"/>
                <w:sz w:val="20"/>
                <w:szCs w:val="20"/>
                <w:lang w:val="uk-UA" w:eastAsia="ru-RU"/>
              </w:rPr>
              <w:t xml:space="preserve"> туберкульоз</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Державний бюджет</w:t>
            </w:r>
          </w:p>
        </w:tc>
        <w:tc>
          <w:tcPr>
            <w:tcW w:w="3950" w:type="dxa"/>
            <w:gridSpan w:val="11"/>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видатків державного бюджету</w:t>
            </w:r>
          </w:p>
        </w:tc>
      </w:tr>
      <w:tr w:rsidR="0037241B" w:rsidRPr="002A479A" w:rsidTr="00A032F5">
        <w:trPr>
          <w:trHeight w:val="1687"/>
        </w:trPr>
        <w:tc>
          <w:tcPr>
            <w:tcW w:w="1438" w:type="dxa"/>
            <w:vMerge w:val="restart"/>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lastRenderedPageBreak/>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Розроблено обласний план із впровадження Стандартів інфекційного контролю туберкульозу в медичних закладах Полтавської області</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nil"/>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tcBorders>
              <w:top w:val="single" w:sz="4" w:space="0" w:color="auto"/>
              <w:left w:val="single" w:sz="4" w:space="0" w:color="auto"/>
              <w:bottom w:val="single" w:sz="4" w:space="0" w:color="auto"/>
              <w:right w:val="nil"/>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5. Забезпечити дотримання вимог інфекційного контролю в лікувально-профілактичних закладах, переглядати план щорічно</w:t>
            </w:r>
          </w:p>
        </w:tc>
        <w:tc>
          <w:tcPr>
            <w:tcW w:w="1134" w:type="dxa"/>
            <w:vMerge w:val="restart"/>
            <w:tcBorders>
              <w:top w:val="single" w:sz="4" w:space="0" w:color="auto"/>
              <w:left w:val="single" w:sz="4" w:space="0" w:color="auto"/>
              <w:right w:val="single" w:sz="4" w:space="0" w:color="auto"/>
            </w:tcBorders>
            <w:shd w:val="clear" w:color="auto" w:fill="auto"/>
            <w:hideMark/>
          </w:tcPr>
          <w:p w:rsidR="0037241B" w:rsidRPr="002A479A" w:rsidRDefault="0037241B" w:rsidP="003800FE">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xml:space="preserve">Департамент охорони </w:t>
            </w:r>
            <w:r w:rsidRPr="003800FE">
              <w:rPr>
                <w:rFonts w:eastAsia="Times New Roman" w:cs="Times New Roman"/>
                <w:sz w:val="18"/>
                <w:szCs w:val="18"/>
                <w:lang w:val="uk-UA" w:eastAsia="ru-RU"/>
              </w:rPr>
              <w:t>здоров’я облдержадміністрації</w:t>
            </w:r>
            <w:r w:rsidR="003800FE" w:rsidRPr="003800FE">
              <w:rPr>
                <w:rFonts w:eastAsia="Times New Roman" w:cs="Times New Roman"/>
                <w:sz w:val="18"/>
                <w:szCs w:val="18"/>
                <w:lang w:val="uk-UA" w:eastAsia="ru-RU"/>
              </w:rPr>
              <w:t xml:space="preserve"> сумісно з </w:t>
            </w:r>
            <w:r w:rsidR="003800FE" w:rsidRPr="003800FE">
              <w:rPr>
                <w:sz w:val="18"/>
                <w:szCs w:val="18"/>
                <w:lang w:val="uk-UA"/>
              </w:rPr>
              <w:t>Програмою оптимальних технологій в охороні здоров’я (надалі - PATH)</w:t>
            </w:r>
            <w:r w:rsidRPr="003800FE">
              <w:rPr>
                <w:rFonts w:eastAsia="Times New Roman" w:cs="Times New Roman"/>
                <w:sz w:val="18"/>
                <w:szCs w:val="18"/>
                <w:lang w:val="uk-UA" w:eastAsia="ru-RU"/>
              </w:rPr>
              <w:t>, райдержадміністрації</w:t>
            </w:r>
            <w:r w:rsidR="003800FE">
              <w:rPr>
                <w:rFonts w:eastAsia="Times New Roman" w:cs="Times New Roman"/>
                <w:sz w:val="18"/>
                <w:szCs w:val="18"/>
                <w:lang w:val="uk-UA" w:eastAsia="ru-RU"/>
              </w:rPr>
              <w:t>, міськвиконкоми</w:t>
            </w:r>
          </w:p>
        </w:tc>
        <w:tc>
          <w:tcPr>
            <w:tcW w:w="993" w:type="dxa"/>
            <w:gridSpan w:val="2"/>
            <w:vMerge w:val="restart"/>
            <w:tcBorders>
              <w:top w:val="single" w:sz="4" w:space="0" w:color="auto"/>
              <w:left w:val="nil"/>
              <w:right w:val="single" w:sz="4" w:space="0" w:color="auto"/>
            </w:tcBorders>
            <w:shd w:val="clear" w:color="auto" w:fill="auto"/>
            <w:hideMark/>
          </w:tcPr>
          <w:p w:rsidR="0037241B" w:rsidRPr="002A479A" w:rsidRDefault="0037241B" w:rsidP="003800FE">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vMerge w:val="restart"/>
            <w:tcBorders>
              <w:top w:val="single" w:sz="4" w:space="0" w:color="auto"/>
              <w:left w:val="nil"/>
              <w:right w:val="single" w:sz="4" w:space="0" w:color="auto"/>
            </w:tcBorders>
            <w:shd w:val="clear" w:color="auto" w:fill="auto"/>
            <w:hideMark/>
          </w:tcPr>
          <w:p w:rsidR="0037241B" w:rsidRPr="002A479A" w:rsidRDefault="0037241B" w:rsidP="003800FE">
            <w:pPr>
              <w:widowControl w:val="0"/>
              <w:spacing w:line="216" w:lineRule="auto"/>
              <w:jc w:val="center"/>
              <w:rPr>
                <w:rFonts w:eastAsia="Times New Roman" w:cs="Times New Roman"/>
                <w:sz w:val="18"/>
                <w:szCs w:val="18"/>
                <w:lang w:val="uk-UA" w:eastAsia="ru-RU"/>
              </w:rPr>
            </w:pPr>
          </w:p>
        </w:tc>
        <w:tc>
          <w:tcPr>
            <w:tcW w:w="993" w:type="dxa"/>
            <w:gridSpan w:val="2"/>
            <w:vMerge w:val="restart"/>
            <w:tcBorders>
              <w:top w:val="single" w:sz="4" w:space="0" w:color="auto"/>
              <w:left w:val="nil"/>
              <w:right w:val="nil"/>
            </w:tcBorders>
            <w:shd w:val="clear" w:color="auto" w:fill="auto"/>
            <w:hideMark/>
          </w:tcPr>
          <w:p w:rsidR="0037241B" w:rsidRPr="002A479A" w:rsidRDefault="0037241B" w:rsidP="003800FE">
            <w:pPr>
              <w:widowControl w:val="0"/>
              <w:spacing w:line="216" w:lineRule="auto"/>
              <w:jc w:val="center"/>
              <w:rPr>
                <w:rFonts w:eastAsia="Times New Roman" w:cs="Times New Roman"/>
                <w:sz w:val="20"/>
                <w:szCs w:val="20"/>
                <w:lang w:val="uk-UA" w:eastAsia="ru-RU"/>
              </w:rPr>
            </w:pPr>
          </w:p>
        </w:tc>
        <w:tc>
          <w:tcPr>
            <w:tcW w:w="812" w:type="dxa"/>
            <w:gridSpan w:val="3"/>
            <w:vMerge w:val="restart"/>
            <w:tcBorders>
              <w:top w:val="single" w:sz="4" w:space="0" w:color="auto"/>
              <w:left w:val="single" w:sz="4" w:space="0" w:color="auto"/>
              <w:right w:val="single" w:sz="4" w:space="0" w:color="auto"/>
            </w:tcBorders>
            <w:shd w:val="clear" w:color="auto" w:fill="auto"/>
            <w:noWrap/>
            <w:hideMark/>
          </w:tcPr>
          <w:p w:rsidR="0037241B" w:rsidRPr="002A479A" w:rsidRDefault="0037241B" w:rsidP="003800FE">
            <w:pPr>
              <w:widowControl w:val="0"/>
              <w:spacing w:line="216" w:lineRule="auto"/>
              <w:jc w:val="center"/>
              <w:rPr>
                <w:rFonts w:ascii="Arial" w:eastAsia="Times New Roman" w:hAnsi="Arial" w:cs="Arial"/>
                <w:sz w:val="20"/>
                <w:szCs w:val="20"/>
                <w:lang w:val="uk-UA" w:eastAsia="ru-RU"/>
              </w:rPr>
            </w:pPr>
          </w:p>
        </w:tc>
        <w:tc>
          <w:tcPr>
            <w:tcW w:w="709" w:type="dxa"/>
            <w:gridSpan w:val="2"/>
            <w:vMerge w:val="restart"/>
            <w:tcBorders>
              <w:top w:val="single" w:sz="4" w:space="0" w:color="auto"/>
              <w:left w:val="nil"/>
              <w:right w:val="single" w:sz="4" w:space="0" w:color="auto"/>
            </w:tcBorders>
            <w:shd w:val="clear" w:color="auto" w:fill="auto"/>
            <w:noWrap/>
            <w:hideMark/>
          </w:tcPr>
          <w:p w:rsidR="0037241B" w:rsidRPr="002A479A" w:rsidRDefault="0037241B" w:rsidP="003800FE">
            <w:pPr>
              <w:widowControl w:val="0"/>
              <w:spacing w:line="216" w:lineRule="auto"/>
              <w:jc w:val="center"/>
              <w:rPr>
                <w:rFonts w:ascii="Arial" w:eastAsia="Times New Roman" w:hAnsi="Arial" w:cs="Arial"/>
                <w:sz w:val="20"/>
                <w:szCs w:val="20"/>
                <w:lang w:val="uk-UA" w:eastAsia="ru-RU"/>
              </w:rPr>
            </w:pPr>
          </w:p>
        </w:tc>
        <w:tc>
          <w:tcPr>
            <w:tcW w:w="606" w:type="dxa"/>
            <w:gridSpan w:val="2"/>
            <w:vMerge w:val="restart"/>
            <w:tcBorders>
              <w:top w:val="single" w:sz="4" w:space="0" w:color="auto"/>
              <w:left w:val="nil"/>
              <w:right w:val="single" w:sz="4" w:space="0" w:color="auto"/>
            </w:tcBorders>
            <w:shd w:val="clear" w:color="auto" w:fill="auto"/>
            <w:noWrap/>
            <w:hideMark/>
          </w:tcPr>
          <w:p w:rsidR="0037241B" w:rsidRPr="002A479A" w:rsidRDefault="0037241B" w:rsidP="003800FE">
            <w:pPr>
              <w:widowControl w:val="0"/>
              <w:spacing w:line="216" w:lineRule="auto"/>
              <w:jc w:val="center"/>
              <w:rPr>
                <w:rFonts w:ascii="Arial" w:eastAsia="Times New Roman" w:hAnsi="Arial" w:cs="Arial"/>
                <w:sz w:val="20"/>
                <w:szCs w:val="20"/>
                <w:lang w:val="uk-UA" w:eastAsia="ru-RU"/>
              </w:rPr>
            </w:pPr>
          </w:p>
        </w:tc>
        <w:tc>
          <w:tcPr>
            <w:tcW w:w="830" w:type="dxa"/>
            <w:gridSpan w:val="2"/>
            <w:vMerge w:val="restart"/>
            <w:tcBorders>
              <w:top w:val="single" w:sz="4" w:space="0" w:color="auto"/>
              <w:left w:val="nil"/>
              <w:right w:val="single" w:sz="4" w:space="0" w:color="auto"/>
            </w:tcBorders>
            <w:shd w:val="clear" w:color="auto" w:fill="auto"/>
            <w:noWrap/>
            <w:hideMark/>
          </w:tcPr>
          <w:p w:rsidR="0037241B" w:rsidRPr="002A479A" w:rsidRDefault="0037241B" w:rsidP="003800FE">
            <w:pPr>
              <w:widowControl w:val="0"/>
              <w:spacing w:line="216" w:lineRule="auto"/>
              <w:jc w:val="center"/>
              <w:rPr>
                <w:rFonts w:ascii="Arial" w:eastAsia="Times New Roman" w:hAnsi="Arial" w:cs="Arial"/>
                <w:sz w:val="20"/>
                <w:szCs w:val="20"/>
                <w:lang w:val="uk-UA" w:eastAsia="ru-RU"/>
              </w:rPr>
            </w:pPr>
          </w:p>
        </w:tc>
      </w:tr>
      <w:tr w:rsidR="0037241B" w:rsidRPr="002A479A" w:rsidTr="003800FE">
        <w:trPr>
          <w:trHeight w:val="1272"/>
        </w:trPr>
        <w:tc>
          <w:tcPr>
            <w:tcW w:w="1438" w:type="dxa"/>
            <w:vMerge/>
            <w:tcBorders>
              <w:left w:val="single" w:sz="4" w:space="0" w:color="auto"/>
              <w:right w:val="single" w:sz="4" w:space="0" w:color="auto"/>
            </w:tcBorders>
            <w:vAlign w:val="center"/>
            <w:hideMark/>
          </w:tcPr>
          <w:p w:rsidR="0037241B" w:rsidRPr="002A479A" w:rsidRDefault="0037241B" w:rsidP="006006B7">
            <w:pPr>
              <w:widowControl w:val="0"/>
              <w:rPr>
                <w:rFonts w:eastAsia="Times New Roman" w:cs="Times New Roman"/>
                <w:sz w:val="20"/>
                <w:szCs w:val="20"/>
                <w:lang w:val="uk-UA" w:eastAsia="ru-RU"/>
              </w:rPr>
            </w:pP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медичних працівників протитуберкульозних закладів, які захворіли на туберкульоз (</w:t>
            </w:r>
            <w:proofErr w:type="spellStart"/>
            <w:r w:rsidRPr="002A479A">
              <w:rPr>
                <w:rFonts w:eastAsia="Times New Roman" w:cs="Times New Roman"/>
                <w:sz w:val="20"/>
                <w:szCs w:val="20"/>
                <w:lang w:val="uk-UA" w:eastAsia="ru-RU"/>
              </w:rPr>
              <w:t>абс</w:t>
            </w:r>
            <w:proofErr w:type="spellEnd"/>
            <w:r w:rsidRPr="002A479A">
              <w:rPr>
                <w:rFonts w:eastAsia="Times New Roman" w:cs="Times New Roman"/>
                <w:sz w:val="20"/>
                <w:szCs w:val="20"/>
                <w:lang w:val="uk-UA" w:eastAsia="ru-RU"/>
              </w:rPr>
              <w:t>.)</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431" w:type="dxa"/>
            <w:tcBorders>
              <w:top w:val="single" w:sz="4" w:space="0" w:color="auto"/>
              <w:left w:val="nil"/>
              <w:bottom w:val="single" w:sz="4" w:space="0" w:color="auto"/>
              <w:right w:val="nil"/>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0</w:t>
            </w:r>
          </w:p>
        </w:tc>
        <w:tc>
          <w:tcPr>
            <w:tcW w:w="2685" w:type="dxa"/>
            <w:gridSpan w:val="2"/>
            <w:tcBorders>
              <w:top w:val="single" w:sz="4" w:space="0" w:color="auto"/>
              <w:left w:val="single" w:sz="4" w:space="0" w:color="auto"/>
              <w:bottom w:val="single" w:sz="4" w:space="0" w:color="auto"/>
              <w:right w:val="nil"/>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5.1.</w:t>
            </w:r>
            <w:r w:rsidRPr="002A479A">
              <w:rPr>
                <w:rFonts w:eastAsia="Times New Roman" w:cs="Times New Roman"/>
                <w:sz w:val="14"/>
                <w:szCs w:val="14"/>
                <w:lang w:val="uk-UA" w:eastAsia="ru-RU"/>
              </w:rPr>
              <w:t> </w:t>
            </w:r>
            <w:r w:rsidRPr="002A479A">
              <w:rPr>
                <w:rFonts w:eastAsia="Times New Roman" w:cs="Times New Roman"/>
                <w:sz w:val="20"/>
                <w:szCs w:val="20"/>
                <w:lang w:val="uk-UA" w:eastAsia="ru-RU"/>
              </w:rPr>
              <w:t>Навчання персоналу впровадженню заходів інфекційного контролю</w:t>
            </w:r>
          </w:p>
        </w:tc>
        <w:tc>
          <w:tcPr>
            <w:tcW w:w="1134" w:type="dxa"/>
            <w:vMerge/>
            <w:tcBorders>
              <w:left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nil"/>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p>
        </w:tc>
        <w:tc>
          <w:tcPr>
            <w:tcW w:w="991" w:type="dxa"/>
            <w:vMerge/>
            <w:tcBorders>
              <w:left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single" w:sz="4" w:space="0" w:color="auto"/>
              <w:right w:val="nil"/>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812" w:type="dxa"/>
            <w:gridSpan w:val="3"/>
            <w:vMerge/>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c>
          <w:tcPr>
            <w:tcW w:w="709" w:type="dxa"/>
            <w:gridSpan w:val="2"/>
            <w:vMerge/>
            <w:tcBorders>
              <w:left w:val="nil"/>
              <w:right w:val="single" w:sz="4" w:space="0" w:color="auto"/>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c>
          <w:tcPr>
            <w:tcW w:w="606" w:type="dxa"/>
            <w:gridSpan w:val="2"/>
            <w:vMerge/>
            <w:tcBorders>
              <w:left w:val="nil"/>
              <w:right w:val="single" w:sz="4" w:space="0" w:color="auto"/>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c>
          <w:tcPr>
            <w:tcW w:w="830" w:type="dxa"/>
            <w:gridSpan w:val="2"/>
            <w:vMerge/>
            <w:tcBorders>
              <w:left w:val="nil"/>
              <w:right w:val="single" w:sz="4" w:space="0" w:color="auto"/>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r>
      <w:tr w:rsidR="0037241B" w:rsidRPr="002A479A" w:rsidTr="003800FE">
        <w:trPr>
          <w:trHeight w:val="1687"/>
        </w:trPr>
        <w:tc>
          <w:tcPr>
            <w:tcW w:w="1438" w:type="dxa"/>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Захворюваність на туберкульоз медичних працівників закладів загально лікувальної мережі (на 10 тис. медичних працівників)</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31" w:type="dxa"/>
            <w:tcBorders>
              <w:top w:val="single" w:sz="4" w:space="0" w:color="auto"/>
              <w:left w:val="nil"/>
              <w:bottom w:val="single" w:sz="4" w:space="0" w:color="auto"/>
              <w:right w:val="nil"/>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2685" w:type="dxa"/>
            <w:gridSpan w:val="2"/>
            <w:tcBorders>
              <w:top w:val="single" w:sz="4" w:space="0" w:color="auto"/>
              <w:left w:val="single" w:sz="4" w:space="0" w:color="auto"/>
              <w:bottom w:val="single" w:sz="4" w:space="0" w:color="auto"/>
              <w:right w:val="nil"/>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5.2. Навчання пацієнтів основам респіраторної гігієни</w:t>
            </w:r>
          </w:p>
        </w:tc>
        <w:tc>
          <w:tcPr>
            <w:tcW w:w="1134" w:type="dxa"/>
            <w:vMerge/>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p>
        </w:tc>
        <w:tc>
          <w:tcPr>
            <w:tcW w:w="991" w:type="dxa"/>
            <w:vMerge/>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vMerge/>
            <w:tcBorders>
              <w:left w:val="single" w:sz="4" w:space="0" w:color="auto"/>
              <w:bottom w:val="single" w:sz="4" w:space="0" w:color="auto"/>
              <w:right w:val="nil"/>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p>
        </w:tc>
        <w:tc>
          <w:tcPr>
            <w:tcW w:w="812" w:type="dxa"/>
            <w:gridSpan w:val="3"/>
            <w:vMerge/>
            <w:tcBorders>
              <w:left w:val="single" w:sz="4" w:space="0" w:color="auto"/>
              <w:bottom w:val="single" w:sz="4" w:space="0" w:color="auto"/>
              <w:right w:val="single" w:sz="4" w:space="0" w:color="auto"/>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c>
          <w:tcPr>
            <w:tcW w:w="709" w:type="dxa"/>
            <w:gridSpan w:val="2"/>
            <w:vMerge/>
            <w:tcBorders>
              <w:left w:val="nil"/>
              <w:bottom w:val="single" w:sz="4" w:space="0" w:color="auto"/>
              <w:right w:val="single" w:sz="4" w:space="0" w:color="auto"/>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c>
          <w:tcPr>
            <w:tcW w:w="606" w:type="dxa"/>
            <w:gridSpan w:val="2"/>
            <w:vMerge/>
            <w:tcBorders>
              <w:left w:val="nil"/>
              <w:bottom w:val="single" w:sz="4" w:space="0" w:color="auto"/>
              <w:right w:val="single" w:sz="4" w:space="0" w:color="auto"/>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c>
          <w:tcPr>
            <w:tcW w:w="830" w:type="dxa"/>
            <w:gridSpan w:val="2"/>
            <w:vMerge/>
            <w:tcBorders>
              <w:left w:val="nil"/>
              <w:bottom w:val="single" w:sz="4" w:space="0" w:color="auto"/>
              <w:right w:val="single" w:sz="4" w:space="0" w:color="auto"/>
            </w:tcBorders>
            <w:shd w:val="clear" w:color="auto" w:fill="auto"/>
            <w:noWrap/>
            <w:vAlign w:val="bottom"/>
            <w:hideMark/>
          </w:tcPr>
          <w:p w:rsidR="0037241B" w:rsidRPr="002A479A" w:rsidRDefault="0037241B" w:rsidP="006006B7">
            <w:pPr>
              <w:widowControl w:val="0"/>
              <w:spacing w:line="216" w:lineRule="auto"/>
              <w:rPr>
                <w:rFonts w:ascii="Arial" w:eastAsia="Times New Roman" w:hAnsi="Arial" w:cs="Arial"/>
                <w:sz w:val="20"/>
                <w:szCs w:val="20"/>
                <w:lang w:val="uk-UA" w:eastAsia="ru-RU"/>
              </w:rPr>
            </w:pPr>
          </w:p>
        </w:tc>
      </w:tr>
      <w:tr w:rsidR="0037241B" w:rsidRPr="002A479A" w:rsidTr="003800FE">
        <w:trPr>
          <w:trHeight w:val="1271"/>
        </w:trPr>
        <w:tc>
          <w:tcPr>
            <w:tcW w:w="1438" w:type="dxa"/>
            <w:tcBorders>
              <w:left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Кількість протитуберкульозних закладів, які на 100 % забезпечені бактерицидними </w:t>
            </w:r>
            <w:proofErr w:type="spellStart"/>
            <w:r w:rsidRPr="002A479A">
              <w:rPr>
                <w:rFonts w:eastAsia="Times New Roman" w:cs="Times New Roman"/>
                <w:sz w:val="20"/>
                <w:szCs w:val="20"/>
                <w:lang w:val="uk-UA" w:eastAsia="ru-RU"/>
              </w:rPr>
              <w:t>УФ-випромінювачами</w:t>
            </w:r>
            <w:proofErr w:type="spellEnd"/>
          </w:p>
        </w:tc>
        <w:tc>
          <w:tcPr>
            <w:tcW w:w="431"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w:t>
            </w:r>
          </w:p>
        </w:tc>
        <w:tc>
          <w:tcPr>
            <w:tcW w:w="467"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w:t>
            </w:r>
          </w:p>
        </w:tc>
        <w:tc>
          <w:tcPr>
            <w:tcW w:w="431"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w:t>
            </w:r>
          </w:p>
        </w:tc>
        <w:tc>
          <w:tcPr>
            <w:tcW w:w="467"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w:t>
            </w:r>
          </w:p>
        </w:tc>
        <w:tc>
          <w:tcPr>
            <w:tcW w:w="431"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w:t>
            </w:r>
          </w:p>
        </w:tc>
        <w:tc>
          <w:tcPr>
            <w:tcW w:w="26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6. Забезпечити протитуберкульозні заклади </w:t>
            </w:r>
            <w:proofErr w:type="spellStart"/>
            <w:r w:rsidRPr="002A479A">
              <w:rPr>
                <w:rFonts w:eastAsia="Times New Roman" w:cs="Times New Roman"/>
                <w:sz w:val="20"/>
                <w:szCs w:val="20"/>
                <w:lang w:val="uk-UA" w:eastAsia="ru-RU"/>
              </w:rPr>
              <w:t>УФ-опромінювачами</w:t>
            </w:r>
            <w:proofErr w:type="spellEnd"/>
            <w:r w:rsidRPr="002A479A">
              <w:rPr>
                <w:rFonts w:eastAsia="Times New Roman" w:cs="Times New Roman"/>
                <w:sz w:val="20"/>
                <w:szCs w:val="20"/>
                <w:lang w:val="uk-UA" w:eastAsia="ru-RU"/>
              </w:rPr>
              <w:t>, дезінфекційними камерами та дезінфекційними засобами, установками для утилізації медичних відходів, забезпечити функціонування вентиляційних системам відділень/палат для хворих на заразні форми ТБ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3800FE">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xml:space="preserve">Департамент охорони здоров’я облдержадміністрації, </w:t>
            </w:r>
            <w:r w:rsidR="003800FE">
              <w:rPr>
                <w:rFonts w:eastAsia="Times New Roman" w:cs="Times New Roman"/>
                <w:sz w:val="18"/>
                <w:szCs w:val="18"/>
                <w:lang w:val="uk-UA" w:eastAsia="ru-RU"/>
              </w:rPr>
              <w:t xml:space="preserve">сумісно з </w:t>
            </w:r>
            <w:r w:rsidR="003800FE" w:rsidRPr="002A479A">
              <w:rPr>
                <w:rFonts w:eastAsia="Times New Roman" w:cs="Times New Roman"/>
                <w:sz w:val="18"/>
                <w:szCs w:val="18"/>
                <w:lang w:val="uk-UA" w:eastAsia="ru-RU"/>
              </w:rPr>
              <w:t>Б</w:t>
            </w:r>
            <w:r w:rsidR="003800FE">
              <w:rPr>
                <w:rFonts w:eastAsia="Times New Roman" w:cs="Times New Roman"/>
                <w:sz w:val="18"/>
                <w:szCs w:val="18"/>
                <w:lang w:val="uk-UA" w:eastAsia="ru-RU"/>
              </w:rPr>
              <w:t>лагодійним фондом</w:t>
            </w:r>
            <w:r w:rsidR="003800FE" w:rsidRPr="002A479A">
              <w:rPr>
                <w:rFonts w:eastAsia="Times New Roman" w:cs="Times New Roman"/>
                <w:sz w:val="18"/>
                <w:szCs w:val="18"/>
                <w:lang w:val="uk-UA" w:eastAsia="ru-RU"/>
              </w:rPr>
              <w:t xml:space="preserve"> «Розвиток України»</w:t>
            </w:r>
            <w:r w:rsidR="003800FE">
              <w:rPr>
                <w:rFonts w:eastAsia="Times New Roman" w:cs="Times New Roman"/>
                <w:sz w:val="18"/>
                <w:szCs w:val="18"/>
                <w:lang w:val="uk-UA" w:eastAsia="ru-RU"/>
              </w:rPr>
              <w:t xml:space="preserve">, </w:t>
            </w:r>
            <w:r w:rsidRPr="002A479A">
              <w:rPr>
                <w:rFonts w:eastAsia="Times New Roman" w:cs="Times New Roman"/>
                <w:sz w:val="18"/>
                <w:szCs w:val="18"/>
                <w:lang w:val="uk-UA" w:eastAsia="ru-RU"/>
              </w:rPr>
              <w:t>райдержадміністрації, міськвиконкоми</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2200,0</w:t>
            </w:r>
          </w:p>
        </w:tc>
        <w:tc>
          <w:tcPr>
            <w:tcW w:w="812" w:type="dxa"/>
            <w:gridSpan w:val="3"/>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400,0</w:t>
            </w:r>
          </w:p>
        </w:tc>
        <w:tc>
          <w:tcPr>
            <w:tcW w:w="606"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700,0</w:t>
            </w: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900,0</w:t>
            </w:r>
          </w:p>
        </w:tc>
      </w:tr>
      <w:tr w:rsidR="0037241B" w:rsidRPr="002A479A" w:rsidTr="003800FE">
        <w:trPr>
          <w:trHeight w:val="1261"/>
        </w:trPr>
        <w:tc>
          <w:tcPr>
            <w:tcW w:w="1438" w:type="dxa"/>
            <w:tcBorders>
              <w:left w:val="single" w:sz="4" w:space="0" w:color="auto"/>
              <w:bottom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відділень/палат для хворих на заразні форми ТБ, які забезпечені вентиляційними системами</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w:t>
            </w:r>
          </w:p>
        </w:tc>
        <w:tc>
          <w:tcPr>
            <w:tcW w:w="2685" w:type="dxa"/>
            <w:gridSpan w:val="2"/>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7241B" w:rsidRPr="002A479A" w:rsidRDefault="0037241B" w:rsidP="006006B7">
            <w:pPr>
              <w:widowControl w:val="0"/>
              <w:spacing w:line="216" w:lineRule="auto"/>
              <w:rPr>
                <w:rFonts w:eastAsia="Times New Roman" w:cs="Times New Roman"/>
                <w:sz w:val="18"/>
                <w:szCs w:val="18"/>
                <w:lang w:val="uk-UA" w:eastAsia="ru-RU"/>
              </w:rPr>
            </w:pP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762,9</w:t>
            </w:r>
          </w:p>
        </w:tc>
        <w:tc>
          <w:tcPr>
            <w:tcW w:w="812" w:type="dxa"/>
            <w:gridSpan w:val="3"/>
            <w:tcBorders>
              <w:top w:val="single" w:sz="4" w:space="0" w:color="auto"/>
              <w:left w:val="nil"/>
              <w:bottom w:val="single" w:sz="4" w:space="0" w:color="auto"/>
              <w:right w:val="single" w:sz="4" w:space="0" w:color="auto"/>
            </w:tcBorders>
            <w:shd w:val="clear" w:color="auto" w:fill="auto"/>
            <w:noWrap/>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165,6</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181,3</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198,6</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217,4</w:t>
            </w:r>
          </w:p>
        </w:tc>
      </w:tr>
      <w:tr w:rsidR="0037241B" w:rsidRPr="002A479A" w:rsidTr="00E23015">
        <w:trPr>
          <w:trHeight w:val="2251"/>
        </w:trPr>
        <w:tc>
          <w:tcPr>
            <w:tcW w:w="1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241B" w:rsidRPr="002A479A" w:rsidRDefault="0037241B" w:rsidP="006006B7">
            <w:pPr>
              <w:widowControl w:val="0"/>
              <w:rPr>
                <w:rFonts w:ascii="Arial" w:eastAsia="Times New Roman" w:hAnsi="Arial" w:cs="Arial"/>
                <w:sz w:val="20"/>
                <w:szCs w:val="20"/>
                <w:lang w:val="uk-UA" w:eastAsia="ru-RU"/>
              </w:rPr>
            </w:pPr>
            <w:r w:rsidRPr="002A479A">
              <w:rPr>
                <w:rFonts w:ascii="Arial" w:eastAsia="Times New Roman" w:hAnsi="Arial" w:cs="Arial"/>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медичних працівників, що контактують з хворими на туберкульоз, які забезпечені засобами індивідуального захисту органів дихання (%)</w:t>
            </w:r>
          </w:p>
        </w:tc>
        <w:tc>
          <w:tcPr>
            <w:tcW w:w="431"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90</w:t>
            </w:r>
          </w:p>
        </w:tc>
        <w:tc>
          <w:tcPr>
            <w:tcW w:w="431"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467"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31"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2685"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7. Забезпечити засобами індивідуального захисту працівників протитуберкульозних закладів залежно від небезпеки робочого місця та пацієнтів, потенційних </w:t>
            </w:r>
            <w:proofErr w:type="spellStart"/>
            <w:r w:rsidRPr="002A479A">
              <w:rPr>
                <w:rFonts w:eastAsia="Times New Roman" w:cs="Times New Roman"/>
                <w:sz w:val="20"/>
                <w:szCs w:val="20"/>
                <w:lang w:val="uk-UA" w:eastAsia="ru-RU"/>
              </w:rPr>
              <w:t>виділювачів</w:t>
            </w:r>
            <w:proofErr w:type="spellEnd"/>
            <w:r w:rsidRPr="002A479A">
              <w:rPr>
                <w:rFonts w:eastAsia="Times New Roman" w:cs="Times New Roman"/>
                <w:sz w:val="20"/>
                <w:szCs w:val="20"/>
                <w:lang w:val="uk-UA" w:eastAsia="ru-RU"/>
              </w:rPr>
              <w:t xml:space="preserve"> мікобактерій туберкульозу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r w:rsidR="003800FE">
              <w:rPr>
                <w:rFonts w:eastAsia="Times New Roman" w:cs="Times New Roman"/>
                <w:sz w:val="18"/>
                <w:szCs w:val="18"/>
                <w:lang w:val="uk-UA" w:eastAsia="ru-RU"/>
              </w:rPr>
              <w:t xml:space="preserve"> сумісно з </w:t>
            </w:r>
            <w:r w:rsidR="003800FE" w:rsidRPr="002A479A">
              <w:rPr>
                <w:rFonts w:eastAsia="Times New Roman" w:cs="Times New Roman"/>
                <w:sz w:val="18"/>
                <w:szCs w:val="18"/>
                <w:lang w:val="uk-UA" w:eastAsia="ru-RU"/>
              </w:rPr>
              <w:t>Б</w:t>
            </w:r>
            <w:r w:rsidR="003800FE">
              <w:rPr>
                <w:rFonts w:eastAsia="Times New Roman" w:cs="Times New Roman"/>
                <w:sz w:val="18"/>
                <w:szCs w:val="18"/>
                <w:lang w:val="uk-UA" w:eastAsia="ru-RU"/>
              </w:rPr>
              <w:t>лагодійним фондом</w:t>
            </w:r>
            <w:r w:rsidR="003800FE" w:rsidRPr="002A479A">
              <w:rPr>
                <w:rFonts w:eastAsia="Times New Roman" w:cs="Times New Roman"/>
                <w:sz w:val="18"/>
                <w:szCs w:val="18"/>
                <w:lang w:val="uk-UA" w:eastAsia="ru-RU"/>
              </w:rPr>
              <w:t xml:space="preserve"> «Розвиток України»</w:t>
            </w:r>
            <w:r w:rsidR="003800FE">
              <w:rPr>
                <w:rFonts w:eastAsia="Times New Roman" w:cs="Times New Roman"/>
                <w:sz w:val="18"/>
                <w:szCs w:val="18"/>
                <w:lang w:val="uk-UA" w:eastAsia="ru-RU"/>
              </w:rPr>
              <w:t xml:space="preserve">, </w:t>
            </w:r>
            <w:r w:rsidR="003800FE" w:rsidRPr="002A479A">
              <w:rPr>
                <w:rFonts w:eastAsia="Times New Roman" w:cs="Times New Roman"/>
                <w:sz w:val="18"/>
                <w:szCs w:val="18"/>
                <w:lang w:val="uk-UA" w:eastAsia="ru-RU"/>
              </w:rPr>
              <w:t>райдержадміністрації, міськвиконкоми,</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Місцеві бюджети</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392,5</w:t>
            </w:r>
          </w:p>
        </w:tc>
        <w:tc>
          <w:tcPr>
            <w:tcW w:w="812"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85,2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93,3</w:t>
            </w:r>
          </w:p>
        </w:tc>
        <w:tc>
          <w:tcPr>
            <w:tcW w:w="606"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102,2</w:t>
            </w: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111,9</w:t>
            </w:r>
          </w:p>
        </w:tc>
      </w:tr>
      <w:tr w:rsidR="0037241B" w:rsidRPr="002A479A" w:rsidTr="0071068C">
        <w:trPr>
          <w:trHeight w:val="1835"/>
        </w:trPr>
        <w:tc>
          <w:tcPr>
            <w:tcW w:w="1438" w:type="dxa"/>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lastRenderedPageBreak/>
              <w:t>6. Здійснення заходів протидії захворюванню на ко-інфекцію (туберкульоз/</w:t>
            </w:r>
            <w:proofErr w:type="spellStart"/>
            <w:r w:rsidRPr="002A479A">
              <w:rPr>
                <w:rFonts w:eastAsia="Times New Roman" w:cs="Times New Roman"/>
                <w:sz w:val="20"/>
                <w:szCs w:val="20"/>
                <w:lang w:val="uk-UA" w:eastAsia="ru-RU"/>
              </w:rPr>
              <w:t>ВІЛ-інфекцїя</w:t>
            </w:r>
            <w:proofErr w:type="spellEnd"/>
            <w:r w:rsidRPr="002A479A">
              <w:rPr>
                <w:rFonts w:eastAsia="Times New Roman" w:cs="Times New Roman"/>
                <w:sz w:val="20"/>
                <w:szCs w:val="20"/>
                <w:lang w:val="uk-UA" w:eastAsia="ru-RU"/>
              </w:rPr>
              <w:t>/ СНІД)</w:t>
            </w:r>
          </w:p>
        </w:tc>
        <w:tc>
          <w:tcPr>
            <w:tcW w:w="1892"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Знизити темп приросту захворюваності на ТБ/ВІЛ ко-інфекцію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50</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40</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1. Розробити та затвердити обласну стратегію боротьби з ТБ/ВІЛ ко-інфекцією</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Департамент охорони здоров’я облдержадміністрації, група впровадження проекту РАТН</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Проект РАТН</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37241B" w:rsidRPr="002A479A" w:rsidRDefault="0037241B"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 </w:t>
            </w:r>
          </w:p>
        </w:tc>
        <w:tc>
          <w:tcPr>
            <w:tcW w:w="812" w:type="dxa"/>
            <w:gridSpan w:val="3"/>
            <w:tcBorders>
              <w:top w:val="single" w:sz="4" w:space="0" w:color="auto"/>
              <w:left w:val="nil"/>
              <w:bottom w:val="single" w:sz="4" w:space="0" w:color="auto"/>
              <w:right w:val="single" w:sz="4" w:space="0" w:color="auto"/>
            </w:tcBorders>
            <w:shd w:val="clear" w:color="auto" w:fill="auto"/>
            <w:noWrap/>
            <w:vAlign w:val="center"/>
            <w:hideMark/>
          </w:tcPr>
          <w:p w:rsidR="0037241B" w:rsidRPr="002A479A" w:rsidRDefault="0037241B"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 </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37241B" w:rsidRPr="002A479A" w:rsidRDefault="0037241B"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 </w:t>
            </w:r>
          </w:p>
        </w:tc>
        <w:tc>
          <w:tcPr>
            <w:tcW w:w="606" w:type="dxa"/>
            <w:gridSpan w:val="2"/>
            <w:tcBorders>
              <w:top w:val="single" w:sz="4" w:space="0" w:color="auto"/>
              <w:left w:val="nil"/>
              <w:bottom w:val="single" w:sz="4" w:space="0" w:color="auto"/>
              <w:right w:val="single" w:sz="4" w:space="0" w:color="auto"/>
            </w:tcBorders>
            <w:shd w:val="clear" w:color="auto" w:fill="auto"/>
            <w:noWrap/>
            <w:vAlign w:val="center"/>
            <w:hideMark/>
          </w:tcPr>
          <w:p w:rsidR="0037241B" w:rsidRPr="002A479A" w:rsidRDefault="0037241B"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 </w:t>
            </w:r>
          </w:p>
        </w:tc>
        <w:tc>
          <w:tcPr>
            <w:tcW w:w="830" w:type="dxa"/>
            <w:gridSpan w:val="2"/>
            <w:tcBorders>
              <w:top w:val="single" w:sz="4" w:space="0" w:color="auto"/>
              <w:left w:val="nil"/>
              <w:bottom w:val="single" w:sz="4" w:space="0" w:color="auto"/>
              <w:right w:val="single" w:sz="4" w:space="0" w:color="auto"/>
            </w:tcBorders>
            <w:shd w:val="clear" w:color="auto" w:fill="auto"/>
            <w:noWrap/>
            <w:vAlign w:val="center"/>
            <w:hideMark/>
          </w:tcPr>
          <w:p w:rsidR="0037241B" w:rsidRPr="002A479A" w:rsidRDefault="0037241B"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 </w:t>
            </w:r>
          </w:p>
        </w:tc>
      </w:tr>
      <w:tr w:rsidR="0037241B" w:rsidRPr="002A479A" w:rsidTr="0071068C">
        <w:trPr>
          <w:trHeight w:val="4240"/>
        </w:trPr>
        <w:tc>
          <w:tcPr>
            <w:tcW w:w="1438" w:type="dxa"/>
            <w:tcBorders>
              <w:top w:val="single" w:sz="4" w:space="0" w:color="auto"/>
              <w:left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7. Створення сприятливого соціального середовища для діяльності інститутів громадського суспільства, спрямованої на подолання епідемії туберкульозу</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Розробити та затвердити обласну стратегію з АКСМ</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67"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43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1. Впровадити заходи обласної стратегії АКСМ шляхом проведення інформаційної кампанії серед населення </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A032F5">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r w:rsidR="00A032F5" w:rsidRPr="002A479A">
              <w:rPr>
                <w:rFonts w:eastAsia="Times New Roman" w:cs="Times New Roman"/>
                <w:sz w:val="18"/>
                <w:szCs w:val="18"/>
                <w:lang w:val="uk-UA" w:eastAsia="ru-RU"/>
              </w:rPr>
              <w:t xml:space="preserve"> </w:t>
            </w:r>
            <w:r w:rsidR="00A032F5">
              <w:rPr>
                <w:rFonts w:eastAsia="Times New Roman" w:cs="Times New Roman"/>
                <w:sz w:val="18"/>
                <w:szCs w:val="18"/>
                <w:lang w:val="uk-UA" w:eastAsia="ru-RU"/>
              </w:rPr>
              <w:t xml:space="preserve"> сумісно з </w:t>
            </w:r>
            <w:r w:rsidR="00A032F5" w:rsidRPr="002A479A">
              <w:rPr>
                <w:rFonts w:eastAsia="Times New Roman" w:cs="Times New Roman"/>
                <w:sz w:val="18"/>
                <w:szCs w:val="18"/>
                <w:lang w:val="uk-UA" w:eastAsia="ru-RU"/>
              </w:rPr>
              <w:t>груп</w:t>
            </w:r>
            <w:r w:rsidR="00A032F5">
              <w:rPr>
                <w:rFonts w:eastAsia="Times New Roman" w:cs="Times New Roman"/>
                <w:sz w:val="18"/>
                <w:szCs w:val="18"/>
                <w:lang w:val="uk-UA" w:eastAsia="ru-RU"/>
              </w:rPr>
              <w:t>ою</w:t>
            </w:r>
            <w:r w:rsidR="00A032F5" w:rsidRPr="002A479A">
              <w:rPr>
                <w:rFonts w:eastAsia="Times New Roman" w:cs="Times New Roman"/>
                <w:sz w:val="18"/>
                <w:szCs w:val="18"/>
                <w:lang w:val="uk-UA" w:eastAsia="ru-RU"/>
              </w:rPr>
              <w:t xml:space="preserve"> впровадження проекту РАТН</w:t>
            </w:r>
            <w:r w:rsidRPr="002A479A">
              <w:rPr>
                <w:rFonts w:eastAsia="Times New Roman" w:cs="Times New Roman"/>
                <w:sz w:val="18"/>
                <w:szCs w:val="18"/>
                <w:lang w:val="uk-UA" w:eastAsia="ru-RU"/>
              </w:rPr>
              <w:t>, Полтавськи</w:t>
            </w:r>
            <w:r w:rsidR="00A032F5">
              <w:rPr>
                <w:rFonts w:eastAsia="Times New Roman" w:cs="Times New Roman"/>
                <w:sz w:val="18"/>
                <w:szCs w:val="18"/>
                <w:lang w:val="uk-UA" w:eastAsia="ru-RU"/>
              </w:rPr>
              <w:t>м</w:t>
            </w:r>
            <w:r w:rsidRPr="002A479A">
              <w:rPr>
                <w:rFonts w:eastAsia="Times New Roman" w:cs="Times New Roman"/>
                <w:sz w:val="18"/>
                <w:szCs w:val="18"/>
                <w:lang w:val="uk-UA" w:eastAsia="ru-RU"/>
              </w:rPr>
              <w:t xml:space="preserve"> обласний центр соціальних служб для сімей, дітей та молоді, Департамент</w:t>
            </w:r>
            <w:r w:rsidR="00A032F5">
              <w:rPr>
                <w:rFonts w:eastAsia="Times New Roman" w:cs="Times New Roman"/>
                <w:sz w:val="18"/>
                <w:szCs w:val="18"/>
                <w:lang w:val="uk-UA" w:eastAsia="ru-RU"/>
              </w:rPr>
              <w:t>ом</w:t>
            </w:r>
            <w:r w:rsidRPr="002A479A">
              <w:rPr>
                <w:rFonts w:eastAsia="Times New Roman" w:cs="Times New Roman"/>
                <w:sz w:val="18"/>
                <w:szCs w:val="18"/>
                <w:lang w:val="uk-UA" w:eastAsia="ru-RU"/>
              </w:rPr>
              <w:t xml:space="preserve"> праці та соціального захисту населення Полтавської облдержадміністрації, НУО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Протягом 2013-2016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Обласний бюджет</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160,0</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40,0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40,0</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40,0</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40,0</w:t>
            </w:r>
          </w:p>
        </w:tc>
      </w:tr>
      <w:tr w:rsidR="0037241B" w:rsidRPr="002A479A" w:rsidTr="0071068C">
        <w:trPr>
          <w:trHeight w:val="1454"/>
        </w:trPr>
        <w:tc>
          <w:tcPr>
            <w:tcW w:w="1438" w:type="dxa"/>
            <w:vMerge w:val="restart"/>
            <w:tcBorders>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Кількість хворих на туберкульоз, яких виявлено за допомогою НУО</w:t>
            </w:r>
          </w:p>
        </w:tc>
        <w:tc>
          <w:tcPr>
            <w:tcW w:w="431" w:type="dxa"/>
            <w:tcBorders>
              <w:top w:val="single" w:sz="4" w:space="0" w:color="auto"/>
              <w:left w:val="nil"/>
              <w:bottom w:val="single" w:sz="4" w:space="0" w:color="auto"/>
              <w:right w:val="single" w:sz="4" w:space="0" w:color="auto"/>
            </w:tcBorders>
            <w:shd w:val="clear" w:color="auto" w:fill="auto"/>
            <w:noWrap/>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80</w:t>
            </w:r>
          </w:p>
        </w:tc>
        <w:tc>
          <w:tcPr>
            <w:tcW w:w="467" w:type="dxa"/>
            <w:tcBorders>
              <w:top w:val="single" w:sz="4" w:space="0" w:color="auto"/>
              <w:left w:val="nil"/>
              <w:bottom w:val="single" w:sz="4" w:space="0" w:color="auto"/>
              <w:right w:val="single" w:sz="4" w:space="0" w:color="auto"/>
            </w:tcBorders>
            <w:shd w:val="clear" w:color="auto" w:fill="auto"/>
            <w:noWrap/>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w:t>
            </w:r>
          </w:p>
        </w:tc>
        <w:tc>
          <w:tcPr>
            <w:tcW w:w="431" w:type="dxa"/>
            <w:tcBorders>
              <w:top w:val="single" w:sz="4" w:space="0" w:color="auto"/>
              <w:left w:val="nil"/>
              <w:bottom w:val="single" w:sz="4" w:space="0" w:color="auto"/>
              <w:right w:val="single" w:sz="4" w:space="0" w:color="auto"/>
            </w:tcBorders>
            <w:shd w:val="clear" w:color="auto" w:fill="auto"/>
            <w:noWrap/>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w:t>
            </w:r>
          </w:p>
        </w:tc>
        <w:tc>
          <w:tcPr>
            <w:tcW w:w="467" w:type="dxa"/>
            <w:tcBorders>
              <w:top w:val="single" w:sz="4" w:space="0" w:color="auto"/>
              <w:left w:val="nil"/>
              <w:bottom w:val="single" w:sz="4" w:space="0" w:color="auto"/>
              <w:right w:val="single" w:sz="4" w:space="0" w:color="auto"/>
            </w:tcBorders>
            <w:shd w:val="clear" w:color="auto" w:fill="auto"/>
            <w:noWrap/>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w:t>
            </w:r>
          </w:p>
        </w:tc>
        <w:tc>
          <w:tcPr>
            <w:tcW w:w="431" w:type="dxa"/>
            <w:tcBorders>
              <w:top w:val="single" w:sz="4" w:space="0" w:color="auto"/>
              <w:left w:val="nil"/>
              <w:bottom w:val="single" w:sz="4" w:space="0" w:color="auto"/>
              <w:right w:val="single" w:sz="4" w:space="0" w:color="auto"/>
            </w:tcBorders>
            <w:shd w:val="clear" w:color="auto" w:fill="auto"/>
            <w:noWrap/>
            <w:hideMark/>
          </w:tcPr>
          <w:p w:rsidR="0037241B" w:rsidRPr="002A479A" w:rsidRDefault="0037241B"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20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2. Розробити та забезпечити впровадження алгоритму активного виявлення туберкульозу в уразливих групах населення за допомогою НУО</w:t>
            </w:r>
          </w:p>
        </w:tc>
        <w:tc>
          <w:tcPr>
            <w:tcW w:w="1134"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A032F5">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r w:rsidR="00A032F5">
              <w:rPr>
                <w:rFonts w:eastAsia="Times New Roman" w:cs="Times New Roman"/>
                <w:sz w:val="18"/>
                <w:szCs w:val="18"/>
                <w:lang w:val="uk-UA" w:eastAsia="ru-RU"/>
              </w:rPr>
              <w:t xml:space="preserve"> сумісно з групою</w:t>
            </w:r>
            <w:r w:rsidRPr="002A479A">
              <w:rPr>
                <w:rFonts w:eastAsia="Times New Roman" w:cs="Times New Roman"/>
                <w:sz w:val="18"/>
                <w:szCs w:val="18"/>
                <w:lang w:val="uk-UA" w:eastAsia="ru-RU"/>
              </w:rPr>
              <w:t xml:space="preserve"> впровадження проекту РАТН, НУО</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Щорічно протягом 2013 – 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37241B" w:rsidRPr="002A479A" w:rsidRDefault="0037241B"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r>
      <w:tr w:rsidR="00A032F5" w:rsidRPr="002A479A" w:rsidTr="00A032F5">
        <w:trPr>
          <w:trHeight w:val="2119"/>
        </w:trPr>
        <w:tc>
          <w:tcPr>
            <w:tcW w:w="1438" w:type="dxa"/>
            <w:vMerge/>
            <w:tcBorders>
              <w:top w:val="single" w:sz="4" w:space="0" w:color="auto"/>
              <w:left w:val="single" w:sz="4" w:space="0" w:color="auto"/>
              <w:bottom w:val="single" w:sz="4" w:space="0" w:color="auto"/>
              <w:right w:val="single" w:sz="4" w:space="0" w:color="auto"/>
            </w:tcBorders>
            <w:vAlign w:val="center"/>
            <w:hideMark/>
          </w:tcPr>
          <w:p w:rsidR="00A032F5" w:rsidRPr="002A479A" w:rsidRDefault="00A032F5" w:rsidP="006006B7">
            <w:pPr>
              <w:widowControl w:val="0"/>
              <w:rPr>
                <w:rFonts w:eastAsia="Times New Roman" w:cs="Times New Roman"/>
                <w:sz w:val="20"/>
                <w:szCs w:val="20"/>
                <w:lang w:val="uk-UA" w:eastAsia="ru-RU"/>
              </w:rPr>
            </w:pP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виявлених хворих на туберкульоз за допомогою НУО, які розпочали лікування туберкульозу не більше ніж через 2 тижні після встановлення діагнозу</w:t>
            </w:r>
          </w:p>
        </w:tc>
        <w:tc>
          <w:tcPr>
            <w:tcW w:w="431" w:type="dxa"/>
            <w:tcBorders>
              <w:top w:val="single" w:sz="4" w:space="0" w:color="auto"/>
              <w:left w:val="nil"/>
              <w:bottom w:val="single" w:sz="4" w:space="0" w:color="auto"/>
              <w:right w:val="single" w:sz="4" w:space="0" w:color="auto"/>
            </w:tcBorders>
            <w:shd w:val="clear" w:color="auto" w:fill="auto"/>
            <w:noWrap/>
            <w:hideMark/>
          </w:tcPr>
          <w:p w:rsidR="00A032F5" w:rsidRPr="002A479A" w:rsidRDefault="00A032F5"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tcBorders>
              <w:top w:val="single" w:sz="4" w:space="0" w:color="auto"/>
              <w:left w:val="nil"/>
              <w:bottom w:val="single" w:sz="4" w:space="0" w:color="auto"/>
              <w:right w:val="single" w:sz="4" w:space="0" w:color="auto"/>
            </w:tcBorders>
            <w:shd w:val="clear" w:color="auto" w:fill="auto"/>
            <w:noWrap/>
            <w:hideMark/>
          </w:tcPr>
          <w:p w:rsidR="00A032F5" w:rsidRPr="002A479A" w:rsidRDefault="00A032F5"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95</w:t>
            </w:r>
          </w:p>
        </w:tc>
        <w:tc>
          <w:tcPr>
            <w:tcW w:w="431" w:type="dxa"/>
            <w:tcBorders>
              <w:top w:val="single" w:sz="4" w:space="0" w:color="auto"/>
              <w:left w:val="nil"/>
              <w:bottom w:val="single" w:sz="4" w:space="0" w:color="auto"/>
              <w:right w:val="single" w:sz="4" w:space="0" w:color="auto"/>
            </w:tcBorders>
            <w:shd w:val="clear" w:color="auto" w:fill="auto"/>
            <w:noWrap/>
            <w:hideMark/>
          </w:tcPr>
          <w:p w:rsidR="00A032F5" w:rsidRPr="002A479A" w:rsidRDefault="00A032F5"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67" w:type="dxa"/>
            <w:tcBorders>
              <w:top w:val="single" w:sz="4" w:space="0" w:color="auto"/>
              <w:left w:val="nil"/>
              <w:bottom w:val="single" w:sz="4" w:space="0" w:color="auto"/>
              <w:right w:val="single" w:sz="4" w:space="0" w:color="auto"/>
            </w:tcBorders>
            <w:shd w:val="clear" w:color="auto" w:fill="auto"/>
            <w:noWrap/>
            <w:hideMark/>
          </w:tcPr>
          <w:p w:rsidR="00A032F5" w:rsidRPr="002A479A" w:rsidRDefault="00A032F5"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431" w:type="dxa"/>
            <w:tcBorders>
              <w:top w:val="single" w:sz="4" w:space="0" w:color="auto"/>
              <w:left w:val="nil"/>
              <w:bottom w:val="single" w:sz="4" w:space="0" w:color="auto"/>
              <w:right w:val="single" w:sz="4" w:space="0" w:color="auto"/>
            </w:tcBorders>
            <w:shd w:val="clear" w:color="auto" w:fill="auto"/>
            <w:noWrap/>
            <w:hideMark/>
          </w:tcPr>
          <w:p w:rsidR="00A032F5" w:rsidRPr="002A479A" w:rsidRDefault="00A032F5" w:rsidP="006006B7">
            <w:pPr>
              <w:widowControl w:val="0"/>
              <w:spacing w:line="216" w:lineRule="auto"/>
              <w:ind w:left="-57" w:right="-57"/>
              <w:jc w:val="center"/>
              <w:rPr>
                <w:rFonts w:eastAsia="Times New Roman" w:cs="Times New Roman"/>
                <w:sz w:val="20"/>
                <w:szCs w:val="20"/>
                <w:lang w:val="uk-UA" w:eastAsia="ru-RU"/>
              </w:rPr>
            </w:pPr>
            <w:r w:rsidRPr="002A479A">
              <w:rPr>
                <w:rFonts w:eastAsia="Times New Roman" w:cs="Times New Roman"/>
                <w:sz w:val="20"/>
                <w:szCs w:val="20"/>
                <w:lang w:val="uk-UA" w:eastAsia="ru-RU"/>
              </w:rPr>
              <w:t>100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xml:space="preserve">3. Оцінити результати впровадження алгоритму та внести відповідні пропозиції на розгляд </w:t>
            </w:r>
            <w:r w:rsidRPr="002A479A">
              <w:rPr>
                <w:rFonts w:eastAsia="Times New Roman" w:cs="Times New Roman"/>
                <w:sz w:val="18"/>
                <w:szCs w:val="18"/>
                <w:lang w:val="uk-UA" w:eastAsia="ru-RU"/>
              </w:rPr>
              <w:t>регіональної ради з питань туберкульозу, ВІЛ/</w:t>
            </w:r>
            <w:proofErr w:type="spellStart"/>
            <w:r w:rsidRPr="002A479A">
              <w:rPr>
                <w:rFonts w:eastAsia="Times New Roman" w:cs="Times New Roman"/>
                <w:sz w:val="18"/>
                <w:szCs w:val="18"/>
                <w:lang w:val="uk-UA" w:eastAsia="ru-RU"/>
              </w:rPr>
              <w:t>СНІДу</w:t>
            </w:r>
            <w:proofErr w:type="spellEnd"/>
            <w:r w:rsidRPr="002A479A">
              <w:rPr>
                <w:rFonts w:eastAsia="Times New Roman" w:cs="Times New Roman"/>
                <w:sz w:val="18"/>
                <w:szCs w:val="18"/>
                <w:lang w:val="uk-UA" w:eastAsia="ru-RU"/>
              </w:rPr>
              <w:t xml:space="preserve"> та інших соціально небезпечних захворювань</w:t>
            </w:r>
          </w:p>
        </w:tc>
        <w:tc>
          <w:tcPr>
            <w:tcW w:w="1134" w:type="dxa"/>
            <w:tcBorders>
              <w:top w:val="single" w:sz="4" w:space="0" w:color="auto"/>
              <w:left w:val="nil"/>
              <w:bottom w:val="single" w:sz="4" w:space="0" w:color="auto"/>
              <w:right w:val="single" w:sz="4" w:space="0" w:color="auto"/>
            </w:tcBorders>
            <w:shd w:val="clear" w:color="auto" w:fill="auto"/>
            <w:hideMark/>
          </w:tcPr>
          <w:p w:rsidR="00A032F5" w:rsidRPr="002A479A" w:rsidRDefault="00A032F5" w:rsidP="00A032F5">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Департамент охорони здоров’я облдержадміністрації</w:t>
            </w:r>
            <w:r>
              <w:rPr>
                <w:rFonts w:eastAsia="Times New Roman" w:cs="Times New Roman"/>
                <w:sz w:val="18"/>
                <w:szCs w:val="18"/>
                <w:lang w:val="uk-UA" w:eastAsia="ru-RU"/>
              </w:rPr>
              <w:t xml:space="preserve"> сумісно з </w:t>
            </w:r>
            <w:r w:rsidRPr="002A479A">
              <w:rPr>
                <w:rFonts w:eastAsia="Times New Roman" w:cs="Times New Roman"/>
                <w:sz w:val="18"/>
                <w:szCs w:val="18"/>
                <w:lang w:val="uk-UA" w:eastAsia="ru-RU"/>
              </w:rPr>
              <w:t>НУО</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71068C">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Щорічно протягом 2013 – 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r>
      <w:tr w:rsidR="00A032F5" w:rsidRPr="002A479A" w:rsidTr="00A032F5">
        <w:trPr>
          <w:trHeight w:val="2839"/>
        </w:trPr>
        <w:tc>
          <w:tcPr>
            <w:tcW w:w="1438" w:type="dxa"/>
            <w:vMerge/>
            <w:tcBorders>
              <w:top w:val="single" w:sz="4" w:space="0" w:color="auto"/>
              <w:left w:val="single" w:sz="4" w:space="0" w:color="auto"/>
              <w:bottom w:val="single" w:sz="4" w:space="0" w:color="auto"/>
              <w:right w:val="single" w:sz="4" w:space="0" w:color="auto"/>
            </w:tcBorders>
            <w:vAlign w:val="center"/>
            <w:hideMark/>
          </w:tcPr>
          <w:p w:rsidR="00A032F5" w:rsidRPr="002A479A" w:rsidRDefault="00A032F5" w:rsidP="006006B7">
            <w:pPr>
              <w:widowControl w:val="0"/>
              <w:rPr>
                <w:rFonts w:eastAsia="Times New Roman" w:cs="Times New Roman"/>
                <w:sz w:val="20"/>
                <w:szCs w:val="20"/>
                <w:lang w:val="uk-UA" w:eastAsia="ru-RU"/>
              </w:rPr>
            </w:pPr>
          </w:p>
        </w:tc>
        <w:tc>
          <w:tcPr>
            <w:tcW w:w="1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Відсоток вперше виявлених хворих на ТБ, які отримали соціальний супровід та підтримку протягом лікування ТБ (%)</w:t>
            </w:r>
          </w:p>
        </w:tc>
        <w:tc>
          <w:tcPr>
            <w:tcW w:w="431" w:type="dxa"/>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60</w:t>
            </w:r>
          </w:p>
        </w:tc>
        <w:tc>
          <w:tcPr>
            <w:tcW w:w="467" w:type="dxa"/>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30</w:t>
            </w:r>
          </w:p>
        </w:tc>
        <w:tc>
          <w:tcPr>
            <w:tcW w:w="431" w:type="dxa"/>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40</w:t>
            </w:r>
          </w:p>
        </w:tc>
        <w:tc>
          <w:tcPr>
            <w:tcW w:w="467" w:type="dxa"/>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50</w:t>
            </w:r>
          </w:p>
        </w:tc>
        <w:tc>
          <w:tcPr>
            <w:tcW w:w="431" w:type="dxa"/>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60</w:t>
            </w:r>
          </w:p>
        </w:tc>
        <w:tc>
          <w:tcPr>
            <w:tcW w:w="2685"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4. Залучати громадські організації та соціальні служби до надання соціального супроводу хворих на ТБ з урахуванням вимог інфекційного контролю туберкульозу</w:t>
            </w:r>
          </w:p>
        </w:tc>
        <w:tc>
          <w:tcPr>
            <w:tcW w:w="1134" w:type="dxa"/>
            <w:tcBorders>
              <w:top w:val="single" w:sz="4" w:space="0" w:color="auto"/>
              <w:left w:val="nil"/>
              <w:bottom w:val="single" w:sz="4" w:space="0" w:color="auto"/>
              <w:right w:val="single" w:sz="4" w:space="0" w:color="auto"/>
            </w:tcBorders>
            <w:shd w:val="clear" w:color="auto" w:fill="auto"/>
            <w:hideMark/>
          </w:tcPr>
          <w:p w:rsidR="00A032F5" w:rsidRPr="002A479A" w:rsidRDefault="00A032F5" w:rsidP="00A032F5">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xml:space="preserve">Департамент охорони здоров’я облдержадміністрації </w:t>
            </w:r>
            <w:r>
              <w:rPr>
                <w:rFonts w:eastAsia="Times New Roman" w:cs="Times New Roman"/>
                <w:sz w:val="18"/>
                <w:szCs w:val="18"/>
                <w:lang w:val="uk-UA" w:eastAsia="ru-RU"/>
              </w:rPr>
              <w:t xml:space="preserve">сумісно з </w:t>
            </w:r>
            <w:r w:rsidRPr="002A479A">
              <w:rPr>
                <w:rFonts w:eastAsia="Times New Roman" w:cs="Times New Roman"/>
                <w:sz w:val="18"/>
                <w:szCs w:val="18"/>
                <w:lang w:val="uk-UA" w:eastAsia="ru-RU"/>
              </w:rPr>
              <w:t>НУО, Департамент</w:t>
            </w:r>
            <w:r>
              <w:rPr>
                <w:rFonts w:eastAsia="Times New Roman" w:cs="Times New Roman"/>
                <w:sz w:val="18"/>
                <w:szCs w:val="18"/>
                <w:lang w:val="uk-UA" w:eastAsia="ru-RU"/>
              </w:rPr>
              <w:t>ом</w:t>
            </w:r>
            <w:r w:rsidRPr="002A479A">
              <w:rPr>
                <w:rFonts w:eastAsia="Times New Roman" w:cs="Times New Roman"/>
                <w:sz w:val="18"/>
                <w:szCs w:val="18"/>
                <w:lang w:val="uk-UA" w:eastAsia="ru-RU"/>
              </w:rPr>
              <w:t xml:space="preserve"> праці та</w:t>
            </w:r>
            <w:r>
              <w:rPr>
                <w:rFonts w:eastAsia="Times New Roman" w:cs="Times New Roman"/>
                <w:sz w:val="18"/>
                <w:szCs w:val="18"/>
                <w:lang w:val="uk-UA" w:eastAsia="ru-RU"/>
              </w:rPr>
              <w:t xml:space="preserve"> соціального захисту населення </w:t>
            </w:r>
            <w:r w:rsidRPr="002A479A">
              <w:rPr>
                <w:rFonts w:eastAsia="Times New Roman" w:cs="Times New Roman"/>
                <w:sz w:val="18"/>
                <w:szCs w:val="18"/>
                <w:lang w:val="uk-UA" w:eastAsia="ru-RU"/>
              </w:rPr>
              <w:t xml:space="preserve">облдержадміністрації, райдержадміністрації, міськвиконкоми,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color w:val="000000"/>
                <w:sz w:val="18"/>
                <w:szCs w:val="18"/>
                <w:lang w:val="uk-UA" w:eastAsia="ru-RU"/>
              </w:rPr>
            </w:pPr>
            <w:r w:rsidRPr="002A479A">
              <w:rPr>
                <w:rFonts w:eastAsia="Times New Roman" w:cs="Times New Roman"/>
                <w:color w:val="000000"/>
                <w:sz w:val="18"/>
                <w:szCs w:val="18"/>
                <w:lang w:val="uk-UA" w:eastAsia="ru-RU"/>
              </w:rPr>
              <w:t>Щорічно протягом 2013 – 2016 років</w:t>
            </w:r>
          </w:p>
        </w:tc>
        <w:tc>
          <w:tcPr>
            <w:tcW w:w="991" w:type="dxa"/>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18"/>
                <w:szCs w:val="18"/>
                <w:lang w:val="uk-UA" w:eastAsia="ru-RU"/>
              </w:rPr>
            </w:pPr>
            <w:r w:rsidRPr="002A479A">
              <w:rPr>
                <w:rFonts w:eastAsia="Times New Roman" w:cs="Times New Roman"/>
                <w:sz w:val="18"/>
                <w:szCs w:val="18"/>
                <w:lang w:val="uk-UA" w:eastAsia="ru-RU"/>
              </w:rPr>
              <w:t>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812" w:type="dxa"/>
            <w:gridSpan w:val="3"/>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606"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c>
          <w:tcPr>
            <w:tcW w:w="830" w:type="dxa"/>
            <w:gridSpan w:val="2"/>
            <w:tcBorders>
              <w:top w:val="single" w:sz="4" w:space="0" w:color="auto"/>
              <w:left w:val="nil"/>
              <w:bottom w:val="single" w:sz="4" w:space="0" w:color="auto"/>
              <w:right w:val="single" w:sz="4" w:space="0" w:color="auto"/>
            </w:tcBorders>
            <w:shd w:val="clear" w:color="auto" w:fill="auto"/>
            <w:hideMark/>
          </w:tcPr>
          <w:p w:rsidR="00A032F5" w:rsidRPr="002A479A" w:rsidRDefault="00A032F5" w:rsidP="006006B7">
            <w:pPr>
              <w:widowControl w:val="0"/>
              <w:spacing w:line="216" w:lineRule="auto"/>
              <w:rPr>
                <w:rFonts w:eastAsia="Times New Roman" w:cs="Times New Roman"/>
                <w:sz w:val="20"/>
                <w:szCs w:val="20"/>
                <w:lang w:val="uk-UA" w:eastAsia="ru-RU"/>
              </w:rPr>
            </w:pPr>
            <w:r w:rsidRPr="002A479A">
              <w:rPr>
                <w:rFonts w:eastAsia="Times New Roman" w:cs="Times New Roman"/>
                <w:sz w:val="20"/>
                <w:szCs w:val="20"/>
                <w:lang w:val="uk-UA" w:eastAsia="ru-RU"/>
              </w:rPr>
              <w:t> </w:t>
            </w:r>
          </w:p>
        </w:tc>
      </w:tr>
      <w:tr w:rsidR="00A032F5" w:rsidRPr="002A479A" w:rsidTr="00E23015">
        <w:trPr>
          <w:trHeight w:val="910"/>
        </w:trPr>
        <w:tc>
          <w:tcPr>
            <w:tcW w:w="1136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032F5" w:rsidRPr="002A479A" w:rsidRDefault="00A032F5" w:rsidP="006006B7">
            <w:pPr>
              <w:widowControl w:val="0"/>
              <w:spacing w:line="216" w:lineRule="auto"/>
              <w:jc w:val="center"/>
              <w:rPr>
                <w:rFonts w:eastAsia="Times New Roman" w:cs="Times New Roman"/>
                <w:b/>
                <w:bCs/>
                <w:sz w:val="24"/>
                <w:szCs w:val="24"/>
                <w:lang w:val="uk-UA" w:eastAsia="ru-RU"/>
              </w:rPr>
            </w:pPr>
            <w:r w:rsidRPr="002A479A">
              <w:rPr>
                <w:rFonts w:eastAsia="Times New Roman" w:cs="Times New Roman"/>
                <w:b/>
                <w:bCs/>
                <w:sz w:val="24"/>
                <w:szCs w:val="24"/>
                <w:lang w:val="uk-UA" w:eastAsia="ru-RU"/>
              </w:rPr>
              <w:t>Всього по програмі</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86078,1</w:t>
            </w:r>
          </w:p>
        </w:tc>
        <w:tc>
          <w:tcPr>
            <w:tcW w:w="812" w:type="dxa"/>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17002,1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21483,3</w:t>
            </w:r>
          </w:p>
        </w:tc>
        <w:tc>
          <w:tcPr>
            <w:tcW w:w="606"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22654,7</w:t>
            </w: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24938,1</w:t>
            </w:r>
          </w:p>
        </w:tc>
      </w:tr>
      <w:tr w:rsidR="00A032F5" w:rsidRPr="002A479A" w:rsidTr="00E23015">
        <w:trPr>
          <w:trHeight w:val="900"/>
        </w:trPr>
        <w:tc>
          <w:tcPr>
            <w:tcW w:w="1136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032F5" w:rsidRPr="002A479A" w:rsidRDefault="00A032F5" w:rsidP="006006B7">
            <w:pPr>
              <w:widowControl w:val="0"/>
              <w:spacing w:line="216" w:lineRule="auto"/>
              <w:jc w:val="center"/>
              <w:rPr>
                <w:rFonts w:eastAsia="Times New Roman" w:cs="Times New Roman"/>
                <w:color w:val="FFFFFF"/>
                <w:sz w:val="24"/>
                <w:szCs w:val="24"/>
                <w:lang w:val="uk-UA" w:eastAsia="ru-RU"/>
              </w:rPr>
            </w:pPr>
            <w:r w:rsidRPr="002A479A">
              <w:rPr>
                <w:rFonts w:eastAsia="Times New Roman" w:cs="Times New Roman"/>
                <w:sz w:val="24"/>
                <w:szCs w:val="24"/>
                <w:lang w:val="uk-UA" w:eastAsia="ru-RU"/>
              </w:rPr>
              <w:t>З державного бюджету:</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44060,0</w:t>
            </w:r>
          </w:p>
        </w:tc>
        <w:tc>
          <w:tcPr>
            <w:tcW w:w="812" w:type="dxa"/>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9340,0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11258,3</w:t>
            </w:r>
          </w:p>
        </w:tc>
        <w:tc>
          <w:tcPr>
            <w:tcW w:w="606"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11198,9</w:t>
            </w: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12262,8</w:t>
            </w:r>
          </w:p>
        </w:tc>
      </w:tr>
      <w:tr w:rsidR="00A032F5" w:rsidRPr="002A479A" w:rsidTr="00E23015">
        <w:trPr>
          <w:trHeight w:val="930"/>
        </w:trPr>
        <w:tc>
          <w:tcPr>
            <w:tcW w:w="1136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032F5" w:rsidRPr="002A479A" w:rsidRDefault="00A032F5" w:rsidP="006006B7">
            <w:pPr>
              <w:widowControl w:val="0"/>
              <w:spacing w:line="216" w:lineRule="auto"/>
              <w:jc w:val="center"/>
              <w:rPr>
                <w:rFonts w:eastAsia="Times New Roman" w:cs="Times New Roman"/>
                <w:color w:val="FFFFFF"/>
                <w:sz w:val="24"/>
                <w:szCs w:val="24"/>
                <w:lang w:val="uk-UA" w:eastAsia="ru-RU"/>
              </w:rPr>
            </w:pPr>
            <w:r w:rsidRPr="002A479A">
              <w:rPr>
                <w:rFonts w:eastAsia="Times New Roman" w:cs="Times New Roman"/>
                <w:sz w:val="24"/>
                <w:szCs w:val="24"/>
                <w:lang w:val="uk-UA" w:eastAsia="ru-RU"/>
              </w:rPr>
              <w:t xml:space="preserve">Кошти обласного </w:t>
            </w:r>
            <w:proofErr w:type="spellStart"/>
            <w:r w:rsidRPr="002A479A">
              <w:rPr>
                <w:rFonts w:eastAsia="Times New Roman" w:cs="Times New Roman"/>
                <w:sz w:val="24"/>
                <w:szCs w:val="24"/>
                <w:lang w:val="uk-UA" w:eastAsia="ru-RU"/>
              </w:rPr>
              <w:t>бюжету</w:t>
            </w:r>
            <w:proofErr w:type="spellEnd"/>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26206,8</w:t>
            </w:r>
          </w:p>
        </w:tc>
        <w:tc>
          <w:tcPr>
            <w:tcW w:w="812" w:type="dxa"/>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4184,8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6480,6</w:t>
            </w:r>
          </w:p>
        </w:tc>
        <w:tc>
          <w:tcPr>
            <w:tcW w:w="606"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7355,7</w:t>
            </w: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8185,7</w:t>
            </w:r>
          </w:p>
        </w:tc>
      </w:tr>
      <w:tr w:rsidR="00A032F5" w:rsidRPr="002A479A" w:rsidTr="00E23015">
        <w:trPr>
          <w:trHeight w:val="840"/>
        </w:trPr>
        <w:tc>
          <w:tcPr>
            <w:tcW w:w="1136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032F5" w:rsidRPr="002A479A" w:rsidRDefault="00A032F5" w:rsidP="006006B7">
            <w:pPr>
              <w:widowControl w:val="0"/>
              <w:spacing w:line="216" w:lineRule="auto"/>
              <w:jc w:val="center"/>
              <w:rPr>
                <w:rFonts w:eastAsia="Times New Roman" w:cs="Times New Roman"/>
                <w:color w:val="FFFFFF"/>
                <w:sz w:val="24"/>
                <w:szCs w:val="24"/>
                <w:lang w:val="uk-UA" w:eastAsia="ru-RU"/>
              </w:rPr>
            </w:pPr>
            <w:r w:rsidRPr="002A479A">
              <w:rPr>
                <w:rFonts w:eastAsia="Times New Roman" w:cs="Times New Roman"/>
                <w:sz w:val="24"/>
                <w:szCs w:val="24"/>
                <w:lang w:val="uk-UA" w:eastAsia="ru-RU"/>
              </w:rPr>
              <w:t>Кошти місцевих бюджетів</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15640,8</w:t>
            </w:r>
          </w:p>
        </w:tc>
        <w:tc>
          <w:tcPr>
            <w:tcW w:w="812" w:type="dxa"/>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3393,3</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3718,1</w:t>
            </w:r>
          </w:p>
        </w:tc>
        <w:tc>
          <w:tcPr>
            <w:tcW w:w="606"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4071,3</w:t>
            </w: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4458,1</w:t>
            </w:r>
          </w:p>
        </w:tc>
      </w:tr>
      <w:tr w:rsidR="00A032F5" w:rsidRPr="002A479A" w:rsidTr="00E23015">
        <w:trPr>
          <w:trHeight w:val="450"/>
        </w:trPr>
        <w:tc>
          <w:tcPr>
            <w:tcW w:w="1136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032F5" w:rsidRPr="002A479A" w:rsidRDefault="00A032F5" w:rsidP="006006B7">
            <w:pPr>
              <w:widowControl w:val="0"/>
              <w:spacing w:line="216" w:lineRule="auto"/>
              <w:jc w:val="center"/>
              <w:rPr>
                <w:rFonts w:eastAsia="Times New Roman" w:cs="Times New Roman"/>
                <w:color w:val="FFFFFF"/>
                <w:sz w:val="24"/>
                <w:szCs w:val="24"/>
                <w:lang w:val="uk-UA" w:eastAsia="ru-RU"/>
              </w:rPr>
            </w:pPr>
            <w:r w:rsidRPr="002A479A">
              <w:rPr>
                <w:rFonts w:eastAsia="Times New Roman" w:cs="Times New Roman"/>
                <w:sz w:val="24"/>
                <w:szCs w:val="24"/>
                <w:lang w:val="uk-UA" w:eastAsia="ru-RU"/>
              </w:rPr>
              <w:t>Кошти Глобального фонду</w:t>
            </w:r>
          </w:p>
        </w:tc>
        <w:tc>
          <w:tcPr>
            <w:tcW w:w="3950" w:type="dxa"/>
            <w:gridSpan w:val="11"/>
            <w:tcBorders>
              <w:top w:val="single" w:sz="4" w:space="0" w:color="auto"/>
              <w:left w:val="single" w:sz="4" w:space="0" w:color="auto"/>
              <w:bottom w:val="single" w:sz="4" w:space="0" w:color="auto"/>
              <w:right w:val="single" w:sz="4" w:space="0" w:color="auto"/>
            </w:tcBorders>
            <w:shd w:val="clear" w:color="auto" w:fill="auto"/>
            <w:hideMark/>
          </w:tcPr>
          <w:p w:rsidR="00A032F5" w:rsidRPr="002A479A" w:rsidRDefault="00A032F5" w:rsidP="006006B7">
            <w:pPr>
              <w:widowControl w:val="0"/>
              <w:spacing w:line="216" w:lineRule="auto"/>
              <w:jc w:val="center"/>
              <w:rPr>
                <w:rFonts w:eastAsia="Times New Roman" w:cs="Times New Roman"/>
                <w:sz w:val="20"/>
                <w:szCs w:val="20"/>
                <w:lang w:val="uk-UA" w:eastAsia="ru-RU"/>
              </w:rPr>
            </w:pPr>
            <w:r w:rsidRPr="002A479A">
              <w:rPr>
                <w:rFonts w:eastAsia="Times New Roman" w:cs="Times New Roman"/>
                <w:sz w:val="20"/>
                <w:szCs w:val="20"/>
                <w:lang w:val="uk-UA" w:eastAsia="ru-RU"/>
              </w:rPr>
              <w:t>Обсяг фінансування визначається окремо в межах проектів за підтримки Глобального фонду</w:t>
            </w:r>
          </w:p>
        </w:tc>
      </w:tr>
      <w:tr w:rsidR="00A032F5" w:rsidRPr="002A479A" w:rsidTr="00E23015">
        <w:trPr>
          <w:trHeight w:val="585"/>
        </w:trPr>
        <w:tc>
          <w:tcPr>
            <w:tcW w:w="1136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032F5" w:rsidRPr="002A479A" w:rsidRDefault="00A032F5" w:rsidP="006006B7">
            <w:pPr>
              <w:widowControl w:val="0"/>
              <w:spacing w:line="216" w:lineRule="auto"/>
              <w:jc w:val="center"/>
              <w:rPr>
                <w:rFonts w:eastAsia="Times New Roman" w:cs="Times New Roman"/>
                <w:sz w:val="24"/>
                <w:szCs w:val="24"/>
                <w:lang w:val="uk-UA" w:eastAsia="ru-RU"/>
              </w:rPr>
            </w:pPr>
            <w:r w:rsidRPr="002A479A">
              <w:rPr>
                <w:rFonts w:eastAsia="Times New Roman" w:cs="Times New Roman"/>
                <w:sz w:val="24"/>
                <w:szCs w:val="24"/>
                <w:lang w:val="uk-UA" w:eastAsia="ru-RU"/>
              </w:rPr>
              <w:t>Інші джерела</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170,6</w:t>
            </w:r>
          </w:p>
        </w:tc>
        <w:tc>
          <w:tcPr>
            <w:tcW w:w="812" w:type="dxa"/>
            <w:gridSpan w:val="3"/>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84,0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26,3</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28,8</w:t>
            </w:r>
          </w:p>
        </w:tc>
        <w:tc>
          <w:tcPr>
            <w:tcW w:w="72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A032F5" w:rsidRPr="002A479A" w:rsidRDefault="00A032F5" w:rsidP="006006B7">
            <w:pPr>
              <w:widowControl w:val="0"/>
              <w:spacing w:line="216" w:lineRule="auto"/>
              <w:jc w:val="center"/>
              <w:rPr>
                <w:rFonts w:eastAsia="Times New Roman" w:cs="Times New Roman"/>
                <w:b/>
                <w:bCs/>
                <w:sz w:val="20"/>
                <w:szCs w:val="20"/>
                <w:lang w:val="uk-UA" w:eastAsia="ru-RU"/>
              </w:rPr>
            </w:pPr>
            <w:r w:rsidRPr="002A479A">
              <w:rPr>
                <w:rFonts w:eastAsia="Times New Roman" w:cs="Times New Roman"/>
                <w:b/>
                <w:bCs/>
                <w:sz w:val="20"/>
                <w:szCs w:val="20"/>
                <w:lang w:val="uk-UA" w:eastAsia="ru-RU"/>
              </w:rPr>
              <w:t>31,5</w:t>
            </w:r>
          </w:p>
        </w:tc>
      </w:tr>
    </w:tbl>
    <w:p w:rsidR="00E81F3C" w:rsidRPr="002A479A" w:rsidRDefault="00E81F3C" w:rsidP="0037241B">
      <w:pPr>
        <w:rPr>
          <w:lang w:val="uk-UA"/>
        </w:rPr>
        <w:sectPr w:rsidR="00E81F3C" w:rsidRPr="002A479A" w:rsidSect="006006B7">
          <w:pgSz w:w="16838" w:h="11906" w:orient="landscape" w:code="9"/>
          <w:pgMar w:top="851" w:right="1134" w:bottom="425" w:left="1134" w:header="0" w:footer="0" w:gutter="0"/>
          <w:cols w:space="708"/>
          <w:docGrid w:linePitch="381"/>
        </w:sectPr>
      </w:pPr>
    </w:p>
    <w:p w:rsidR="00E32EB2" w:rsidRPr="008B220C" w:rsidRDefault="00E32EB2" w:rsidP="00E32EB2">
      <w:pPr>
        <w:tabs>
          <w:tab w:val="left" w:pos="2030"/>
          <w:tab w:val="left" w:pos="4449"/>
          <w:tab w:val="left" w:pos="5025"/>
          <w:tab w:val="left" w:pos="5601"/>
          <w:tab w:val="left" w:pos="6177"/>
          <w:tab w:val="left" w:pos="6753"/>
          <w:tab w:val="left" w:pos="7329"/>
          <w:tab w:val="left" w:pos="7905"/>
        </w:tabs>
        <w:spacing w:line="216" w:lineRule="auto"/>
        <w:ind w:left="5220"/>
        <w:rPr>
          <w:sz w:val="26"/>
          <w:szCs w:val="26"/>
          <w:lang w:val="uk-UA"/>
        </w:rPr>
      </w:pPr>
      <w:r w:rsidRPr="008B220C">
        <w:rPr>
          <w:sz w:val="26"/>
          <w:szCs w:val="26"/>
          <w:lang w:val="uk-UA"/>
        </w:rPr>
        <w:lastRenderedPageBreak/>
        <w:t>Додаток 2</w:t>
      </w:r>
    </w:p>
    <w:p w:rsidR="00E32EB2" w:rsidRPr="008B220C" w:rsidRDefault="00E32EB2" w:rsidP="00E32EB2">
      <w:pPr>
        <w:tabs>
          <w:tab w:val="left" w:pos="2030"/>
          <w:tab w:val="left" w:pos="4449"/>
          <w:tab w:val="left" w:pos="5025"/>
          <w:tab w:val="left" w:pos="5601"/>
          <w:tab w:val="left" w:pos="6177"/>
          <w:tab w:val="left" w:pos="6753"/>
          <w:tab w:val="left" w:pos="7329"/>
          <w:tab w:val="left" w:pos="7905"/>
        </w:tabs>
        <w:spacing w:line="216" w:lineRule="auto"/>
        <w:ind w:left="5220"/>
        <w:rPr>
          <w:rFonts w:ascii="Arial" w:hAnsi="Arial" w:cs="Arial"/>
          <w:sz w:val="26"/>
          <w:szCs w:val="26"/>
          <w:lang w:val="uk-UA"/>
        </w:rPr>
      </w:pPr>
      <w:r w:rsidRPr="008B220C">
        <w:rPr>
          <w:sz w:val="26"/>
          <w:szCs w:val="26"/>
          <w:lang w:val="uk-UA"/>
        </w:rPr>
        <w:t>до Обласної цільової соціальної програми протидії захворюванню на туберкульоз на  2013 - 2016 роки в Полтавській області</w:t>
      </w:r>
    </w:p>
    <w:p w:rsidR="00E32EB2" w:rsidRPr="008B220C" w:rsidRDefault="00E32EB2" w:rsidP="00E32EB2">
      <w:pPr>
        <w:spacing w:line="216" w:lineRule="auto"/>
        <w:jc w:val="center"/>
        <w:rPr>
          <w:b/>
          <w:bCs/>
          <w:sz w:val="26"/>
          <w:szCs w:val="26"/>
          <w:lang w:val="uk-UA"/>
        </w:rPr>
      </w:pPr>
    </w:p>
    <w:p w:rsidR="00E32EB2" w:rsidRPr="008B220C" w:rsidRDefault="00E32EB2" w:rsidP="00E32EB2">
      <w:pPr>
        <w:spacing w:line="216" w:lineRule="auto"/>
        <w:jc w:val="center"/>
        <w:rPr>
          <w:b/>
          <w:bCs/>
          <w:sz w:val="26"/>
          <w:szCs w:val="26"/>
          <w:lang w:val="uk-UA"/>
        </w:rPr>
      </w:pPr>
      <w:r w:rsidRPr="008B220C">
        <w:rPr>
          <w:b/>
          <w:bCs/>
          <w:sz w:val="26"/>
          <w:szCs w:val="26"/>
          <w:lang w:val="uk-UA"/>
        </w:rPr>
        <w:t xml:space="preserve">ОЧІКУВАНІ РЕЗУЛЬТАТИ </w:t>
      </w:r>
    </w:p>
    <w:p w:rsidR="00E32EB2" w:rsidRPr="008B220C" w:rsidRDefault="00E32EB2" w:rsidP="00E32EB2">
      <w:pPr>
        <w:spacing w:line="216" w:lineRule="auto"/>
        <w:jc w:val="center"/>
        <w:rPr>
          <w:b/>
          <w:bCs/>
          <w:sz w:val="26"/>
          <w:szCs w:val="26"/>
          <w:lang w:val="uk-UA"/>
        </w:rPr>
      </w:pPr>
      <w:r w:rsidRPr="008B220C">
        <w:rPr>
          <w:b/>
          <w:bCs/>
          <w:sz w:val="26"/>
          <w:szCs w:val="26"/>
          <w:lang w:val="uk-UA"/>
        </w:rPr>
        <w:t>виконання завдань та заходів Обласної цільової соціальної програми протидії захворюванню на туберкульоз на 2013 - 2016 роки в Полтавській області</w:t>
      </w:r>
    </w:p>
    <w:p w:rsidR="00E32EB2" w:rsidRPr="008B220C" w:rsidRDefault="00E32EB2" w:rsidP="00E32EB2">
      <w:pPr>
        <w:spacing w:line="216" w:lineRule="auto"/>
        <w:jc w:val="center"/>
        <w:rPr>
          <w:b/>
          <w:bCs/>
          <w:sz w:val="26"/>
          <w:szCs w:val="26"/>
          <w:lang w:val="uk-UA"/>
        </w:rPr>
      </w:pP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02"/>
        <w:gridCol w:w="3720"/>
        <w:gridCol w:w="671"/>
        <w:gridCol w:w="671"/>
        <w:gridCol w:w="606"/>
        <w:gridCol w:w="671"/>
        <w:gridCol w:w="671"/>
      </w:tblGrid>
      <w:tr w:rsidR="00E32EB2" w:rsidRPr="008B220C" w:rsidTr="005C2B45">
        <w:trPr>
          <w:trHeight w:val="390"/>
          <w:jc w:val="center"/>
        </w:trPr>
        <w:tc>
          <w:tcPr>
            <w:tcW w:w="2468" w:type="dxa"/>
            <w:vMerge w:val="restart"/>
            <w:shd w:val="clear" w:color="auto" w:fill="auto"/>
            <w:vAlign w:val="center"/>
          </w:tcPr>
          <w:p w:rsidR="00E32EB2" w:rsidRPr="008B220C" w:rsidRDefault="00E32EB2" w:rsidP="0071068C">
            <w:pPr>
              <w:spacing w:line="216" w:lineRule="auto"/>
              <w:jc w:val="center"/>
              <w:rPr>
                <w:sz w:val="26"/>
                <w:szCs w:val="26"/>
                <w:lang w:val="uk-UA"/>
              </w:rPr>
            </w:pPr>
            <w:r w:rsidRPr="008B220C">
              <w:rPr>
                <w:sz w:val="26"/>
                <w:szCs w:val="26"/>
                <w:lang w:val="uk-UA"/>
              </w:rPr>
              <w:t>Найменування завдання</w:t>
            </w:r>
          </w:p>
        </w:tc>
        <w:tc>
          <w:tcPr>
            <w:tcW w:w="3854" w:type="dxa"/>
            <w:vMerge w:val="restart"/>
            <w:shd w:val="clear" w:color="auto" w:fill="auto"/>
            <w:vAlign w:val="center"/>
          </w:tcPr>
          <w:p w:rsidR="00E32EB2" w:rsidRPr="008B220C" w:rsidRDefault="00E32EB2" w:rsidP="0071068C">
            <w:pPr>
              <w:spacing w:line="216" w:lineRule="auto"/>
              <w:jc w:val="center"/>
              <w:rPr>
                <w:sz w:val="26"/>
                <w:szCs w:val="26"/>
                <w:lang w:val="uk-UA"/>
              </w:rPr>
            </w:pPr>
            <w:r w:rsidRPr="008B220C">
              <w:rPr>
                <w:sz w:val="26"/>
                <w:szCs w:val="26"/>
                <w:lang w:val="uk-UA"/>
              </w:rPr>
              <w:t>Найменування показника</w:t>
            </w:r>
          </w:p>
        </w:tc>
        <w:tc>
          <w:tcPr>
            <w:tcW w:w="3290" w:type="dxa"/>
            <w:gridSpan w:val="5"/>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Значення показника</w:t>
            </w:r>
          </w:p>
        </w:tc>
      </w:tr>
      <w:tr w:rsidR="00E32EB2" w:rsidRPr="008B220C" w:rsidTr="005C2B45">
        <w:trPr>
          <w:trHeight w:val="405"/>
          <w:jc w:val="center"/>
        </w:trPr>
        <w:tc>
          <w:tcPr>
            <w:tcW w:w="2468" w:type="dxa"/>
            <w:vMerge/>
            <w:vAlign w:val="center"/>
          </w:tcPr>
          <w:p w:rsidR="00E32EB2" w:rsidRPr="008B220C" w:rsidRDefault="00E32EB2" w:rsidP="0071068C">
            <w:pPr>
              <w:spacing w:line="216" w:lineRule="auto"/>
              <w:rPr>
                <w:sz w:val="26"/>
                <w:szCs w:val="26"/>
                <w:lang w:val="uk-UA"/>
              </w:rPr>
            </w:pPr>
          </w:p>
        </w:tc>
        <w:tc>
          <w:tcPr>
            <w:tcW w:w="3854" w:type="dxa"/>
            <w:vMerge/>
            <w:vAlign w:val="center"/>
          </w:tcPr>
          <w:p w:rsidR="00E32EB2" w:rsidRPr="008B220C" w:rsidRDefault="00E32EB2" w:rsidP="0071068C">
            <w:pPr>
              <w:spacing w:line="216" w:lineRule="auto"/>
              <w:rPr>
                <w:sz w:val="26"/>
                <w:szCs w:val="26"/>
                <w:lang w:val="uk-UA"/>
              </w:rPr>
            </w:pPr>
          </w:p>
        </w:tc>
        <w:tc>
          <w:tcPr>
            <w:tcW w:w="671" w:type="dxa"/>
            <w:vMerge w:val="restart"/>
            <w:shd w:val="clear" w:color="auto" w:fill="auto"/>
            <w:textDirection w:val="btLr"/>
          </w:tcPr>
          <w:p w:rsidR="00E32EB2" w:rsidRPr="008B220C" w:rsidRDefault="00E32EB2" w:rsidP="0071068C">
            <w:pPr>
              <w:spacing w:line="216" w:lineRule="auto"/>
              <w:jc w:val="center"/>
              <w:rPr>
                <w:sz w:val="26"/>
                <w:szCs w:val="26"/>
                <w:lang w:val="uk-UA"/>
              </w:rPr>
            </w:pPr>
            <w:r w:rsidRPr="008B220C">
              <w:rPr>
                <w:sz w:val="26"/>
                <w:szCs w:val="26"/>
                <w:lang w:val="uk-UA"/>
              </w:rPr>
              <w:t>Усього</w:t>
            </w:r>
          </w:p>
        </w:tc>
        <w:tc>
          <w:tcPr>
            <w:tcW w:w="2619" w:type="dxa"/>
            <w:gridSpan w:val="4"/>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За роками</w:t>
            </w:r>
          </w:p>
        </w:tc>
      </w:tr>
      <w:tr w:rsidR="00E32EB2" w:rsidRPr="008B220C" w:rsidTr="005C2B45">
        <w:trPr>
          <w:trHeight w:val="822"/>
          <w:jc w:val="center"/>
        </w:trPr>
        <w:tc>
          <w:tcPr>
            <w:tcW w:w="2468" w:type="dxa"/>
            <w:vMerge/>
            <w:tcBorders>
              <w:bottom w:val="single" w:sz="4" w:space="0" w:color="auto"/>
            </w:tcBorders>
            <w:vAlign w:val="center"/>
          </w:tcPr>
          <w:p w:rsidR="00E32EB2" w:rsidRPr="008B220C" w:rsidRDefault="00E32EB2" w:rsidP="0071068C">
            <w:pPr>
              <w:spacing w:line="216" w:lineRule="auto"/>
              <w:rPr>
                <w:sz w:val="26"/>
                <w:szCs w:val="26"/>
                <w:lang w:val="uk-UA"/>
              </w:rPr>
            </w:pPr>
          </w:p>
        </w:tc>
        <w:tc>
          <w:tcPr>
            <w:tcW w:w="3854" w:type="dxa"/>
            <w:vMerge/>
            <w:vAlign w:val="center"/>
          </w:tcPr>
          <w:p w:rsidR="00E32EB2" w:rsidRPr="008B220C" w:rsidRDefault="00E32EB2" w:rsidP="0071068C">
            <w:pPr>
              <w:spacing w:line="216" w:lineRule="auto"/>
              <w:rPr>
                <w:sz w:val="26"/>
                <w:szCs w:val="26"/>
                <w:lang w:val="uk-UA"/>
              </w:rPr>
            </w:pPr>
          </w:p>
        </w:tc>
        <w:tc>
          <w:tcPr>
            <w:tcW w:w="671" w:type="dxa"/>
            <w:vMerge/>
            <w:vAlign w:val="center"/>
          </w:tcPr>
          <w:p w:rsidR="00E32EB2" w:rsidRPr="008B220C" w:rsidRDefault="00E32EB2" w:rsidP="0071068C">
            <w:pPr>
              <w:spacing w:line="216" w:lineRule="auto"/>
              <w:rPr>
                <w:sz w:val="26"/>
                <w:szCs w:val="26"/>
                <w:lang w:val="uk-UA"/>
              </w:rPr>
            </w:pPr>
          </w:p>
        </w:tc>
        <w:tc>
          <w:tcPr>
            <w:tcW w:w="671" w:type="dxa"/>
            <w:shd w:val="clear" w:color="auto" w:fill="auto"/>
            <w:textDirection w:val="btLr"/>
          </w:tcPr>
          <w:p w:rsidR="00E32EB2" w:rsidRPr="008B220C" w:rsidRDefault="00E32EB2" w:rsidP="0071068C">
            <w:pPr>
              <w:spacing w:line="216" w:lineRule="auto"/>
              <w:jc w:val="center"/>
              <w:rPr>
                <w:sz w:val="26"/>
                <w:szCs w:val="26"/>
                <w:lang w:val="uk-UA"/>
              </w:rPr>
            </w:pPr>
            <w:r w:rsidRPr="008B220C">
              <w:rPr>
                <w:sz w:val="26"/>
                <w:szCs w:val="26"/>
                <w:lang w:val="uk-UA"/>
              </w:rPr>
              <w:t>2013</w:t>
            </w:r>
          </w:p>
        </w:tc>
        <w:tc>
          <w:tcPr>
            <w:tcW w:w="606" w:type="dxa"/>
            <w:shd w:val="clear" w:color="auto" w:fill="auto"/>
            <w:textDirection w:val="btLr"/>
          </w:tcPr>
          <w:p w:rsidR="00E32EB2" w:rsidRPr="008B220C" w:rsidRDefault="00E32EB2" w:rsidP="0071068C">
            <w:pPr>
              <w:spacing w:line="216" w:lineRule="auto"/>
              <w:jc w:val="center"/>
              <w:rPr>
                <w:sz w:val="26"/>
                <w:szCs w:val="26"/>
                <w:lang w:val="uk-UA"/>
              </w:rPr>
            </w:pPr>
            <w:r w:rsidRPr="008B220C">
              <w:rPr>
                <w:sz w:val="26"/>
                <w:szCs w:val="26"/>
                <w:lang w:val="uk-UA"/>
              </w:rPr>
              <w:t>2014</w:t>
            </w:r>
          </w:p>
        </w:tc>
        <w:tc>
          <w:tcPr>
            <w:tcW w:w="671" w:type="dxa"/>
            <w:shd w:val="clear" w:color="auto" w:fill="auto"/>
            <w:textDirection w:val="btLr"/>
          </w:tcPr>
          <w:p w:rsidR="00E32EB2" w:rsidRPr="008B220C" w:rsidRDefault="00E32EB2" w:rsidP="0071068C">
            <w:pPr>
              <w:spacing w:line="216" w:lineRule="auto"/>
              <w:jc w:val="center"/>
              <w:rPr>
                <w:sz w:val="26"/>
                <w:szCs w:val="26"/>
                <w:lang w:val="uk-UA"/>
              </w:rPr>
            </w:pPr>
            <w:r w:rsidRPr="008B220C">
              <w:rPr>
                <w:sz w:val="26"/>
                <w:szCs w:val="26"/>
                <w:lang w:val="uk-UA"/>
              </w:rPr>
              <w:t>2015</w:t>
            </w:r>
          </w:p>
        </w:tc>
        <w:tc>
          <w:tcPr>
            <w:tcW w:w="671" w:type="dxa"/>
            <w:shd w:val="clear" w:color="auto" w:fill="auto"/>
            <w:textDirection w:val="btLr"/>
          </w:tcPr>
          <w:p w:rsidR="00E32EB2" w:rsidRPr="008B220C" w:rsidRDefault="00E32EB2" w:rsidP="0071068C">
            <w:pPr>
              <w:spacing w:line="216" w:lineRule="auto"/>
              <w:jc w:val="center"/>
              <w:rPr>
                <w:sz w:val="26"/>
                <w:szCs w:val="26"/>
                <w:lang w:val="uk-UA"/>
              </w:rPr>
            </w:pPr>
            <w:r w:rsidRPr="008B220C">
              <w:rPr>
                <w:sz w:val="26"/>
                <w:szCs w:val="26"/>
                <w:lang w:val="uk-UA"/>
              </w:rPr>
              <w:t>2016</w:t>
            </w:r>
          </w:p>
        </w:tc>
      </w:tr>
      <w:tr w:rsidR="00E32EB2" w:rsidRPr="008B220C" w:rsidTr="005C2B45">
        <w:trPr>
          <w:trHeight w:val="679"/>
          <w:jc w:val="center"/>
        </w:trPr>
        <w:tc>
          <w:tcPr>
            <w:tcW w:w="2468" w:type="dxa"/>
            <w:vMerge w:val="restart"/>
            <w:tcBorders>
              <w:bottom w:val="nil"/>
            </w:tcBorders>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1. Удосконалення системи охорони здоров’я в галузі протидії захворюванню на туберкульоз, у тому числі </w:t>
            </w:r>
            <w:proofErr w:type="spellStart"/>
            <w:r w:rsidRPr="008B220C">
              <w:rPr>
                <w:sz w:val="26"/>
                <w:szCs w:val="26"/>
                <w:lang w:val="uk-UA"/>
              </w:rPr>
              <w:t>хіміорезистентному</w:t>
            </w:r>
            <w:proofErr w:type="spellEnd"/>
          </w:p>
        </w:tc>
        <w:tc>
          <w:tcPr>
            <w:tcW w:w="3854" w:type="dxa"/>
            <w:shd w:val="clear" w:color="auto" w:fill="auto"/>
          </w:tcPr>
          <w:p w:rsidR="00E32EB2" w:rsidRPr="008B220C" w:rsidRDefault="00E32EB2" w:rsidP="0071068C">
            <w:pPr>
              <w:spacing w:line="216" w:lineRule="auto"/>
              <w:rPr>
                <w:color w:val="000000"/>
                <w:sz w:val="26"/>
                <w:szCs w:val="26"/>
                <w:lang w:val="uk-UA"/>
              </w:rPr>
            </w:pPr>
            <w:r w:rsidRPr="008B220C">
              <w:rPr>
                <w:color w:val="000000"/>
                <w:sz w:val="26"/>
                <w:szCs w:val="26"/>
                <w:lang w:val="uk-UA"/>
              </w:rPr>
              <w:t>Наявність розроблених районних/міських програм з протидії захворюванню на</w:t>
            </w:r>
            <w:r w:rsidR="005C2B45">
              <w:rPr>
                <w:color w:val="000000"/>
                <w:sz w:val="26"/>
                <w:szCs w:val="26"/>
                <w:lang w:val="uk-UA"/>
              </w:rPr>
              <w:t xml:space="preserve"> туберкульоз на 2012 – 2016 рр.</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28</w:t>
            </w:r>
          </w:p>
        </w:tc>
        <w:tc>
          <w:tcPr>
            <w:tcW w:w="671" w:type="dxa"/>
            <w:shd w:val="clear" w:color="auto" w:fill="auto"/>
          </w:tcPr>
          <w:p w:rsidR="00E32EB2" w:rsidRPr="008B220C" w:rsidRDefault="00E32EB2" w:rsidP="0071068C">
            <w:pPr>
              <w:spacing w:line="216" w:lineRule="auto"/>
              <w:jc w:val="center"/>
              <w:rPr>
                <w:b/>
                <w:bCs/>
                <w:i/>
                <w:iCs/>
                <w:sz w:val="26"/>
                <w:szCs w:val="26"/>
                <w:lang w:val="uk-UA"/>
              </w:rPr>
            </w:pPr>
            <w:r w:rsidRPr="008B220C">
              <w:rPr>
                <w:bCs/>
                <w:iCs/>
                <w:sz w:val="26"/>
                <w:szCs w:val="26"/>
                <w:lang w:val="uk-UA"/>
              </w:rPr>
              <w:t>28</w:t>
            </w:r>
            <w:r w:rsidRPr="008B220C">
              <w:rPr>
                <w:b/>
                <w:bCs/>
                <w:i/>
                <w:iCs/>
                <w:sz w:val="26"/>
                <w:szCs w:val="26"/>
                <w:lang w:val="uk-UA"/>
              </w:rPr>
              <w:t> </w:t>
            </w:r>
          </w:p>
        </w:tc>
        <w:tc>
          <w:tcPr>
            <w:tcW w:w="606" w:type="dxa"/>
            <w:shd w:val="clear" w:color="auto" w:fill="auto"/>
          </w:tcPr>
          <w:p w:rsidR="00E32EB2" w:rsidRPr="008B220C" w:rsidRDefault="00E32EB2" w:rsidP="0071068C">
            <w:pPr>
              <w:spacing w:line="216" w:lineRule="auto"/>
              <w:jc w:val="center"/>
              <w:rPr>
                <w:b/>
                <w:bCs/>
                <w:i/>
                <w:iCs/>
                <w:sz w:val="26"/>
                <w:szCs w:val="26"/>
                <w:lang w:val="uk-UA"/>
              </w:rPr>
            </w:pPr>
            <w:r w:rsidRPr="008B220C">
              <w:rPr>
                <w:b/>
                <w:bCs/>
                <w:i/>
                <w:iCs/>
                <w:sz w:val="26"/>
                <w:szCs w:val="26"/>
                <w:lang w:val="uk-UA"/>
              </w:rPr>
              <w:t> </w:t>
            </w:r>
          </w:p>
        </w:tc>
        <w:tc>
          <w:tcPr>
            <w:tcW w:w="671" w:type="dxa"/>
            <w:shd w:val="clear" w:color="auto" w:fill="auto"/>
          </w:tcPr>
          <w:p w:rsidR="00E32EB2" w:rsidRPr="008B220C" w:rsidRDefault="00E32EB2" w:rsidP="0071068C">
            <w:pPr>
              <w:spacing w:line="216" w:lineRule="auto"/>
              <w:jc w:val="center"/>
              <w:rPr>
                <w:b/>
                <w:bCs/>
                <w:i/>
                <w:iCs/>
                <w:sz w:val="26"/>
                <w:szCs w:val="26"/>
                <w:lang w:val="uk-UA"/>
              </w:rPr>
            </w:pPr>
            <w:r w:rsidRPr="008B220C">
              <w:rPr>
                <w:b/>
                <w:bCs/>
                <w:i/>
                <w:iCs/>
                <w:sz w:val="26"/>
                <w:szCs w:val="26"/>
                <w:lang w:val="uk-UA"/>
              </w:rPr>
              <w:t> </w:t>
            </w:r>
          </w:p>
        </w:tc>
        <w:tc>
          <w:tcPr>
            <w:tcW w:w="671" w:type="dxa"/>
            <w:shd w:val="clear" w:color="auto" w:fill="auto"/>
          </w:tcPr>
          <w:p w:rsidR="00E32EB2" w:rsidRPr="008B220C" w:rsidRDefault="00E32EB2" w:rsidP="0071068C">
            <w:pPr>
              <w:spacing w:line="216" w:lineRule="auto"/>
              <w:jc w:val="center"/>
              <w:rPr>
                <w:b/>
                <w:bCs/>
                <w:i/>
                <w:iCs/>
                <w:sz w:val="26"/>
                <w:szCs w:val="26"/>
                <w:lang w:val="uk-UA"/>
              </w:rPr>
            </w:pPr>
            <w:r w:rsidRPr="008B220C">
              <w:rPr>
                <w:b/>
                <w:bCs/>
                <w:i/>
                <w:iCs/>
                <w:sz w:val="26"/>
                <w:szCs w:val="26"/>
                <w:lang w:val="uk-UA"/>
              </w:rPr>
              <w:t> </w:t>
            </w:r>
          </w:p>
        </w:tc>
      </w:tr>
      <w:tr w:rsidR="00E32EB2" w:rsidRPr="008B220C" w:rsidTr="005C2B45">
        <w:trPr>
          <w:trHeight w:val="1140"/>
          <w:jc w:val="center"/>
        </w:trPr>
        <w:tc>
          <w:tcPr>
            <w:tcW w:w="2468" w:type="dxa"/>
            <w:vMerge/>
            <w:tcBorders>
              <w:bottom w:val="nil"/>
            </w:tcBorders>
            <w:vAlign w:val="center"/>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Кількість засідань постійній комісії обласної ради з питань охорони здоров’я, обласної Координаційної ради з питань протидії туберкульозу, ВІЛ-інфекції/</w:t>
            </w:r>
            <w:proofErr w:type="spellStart"/>
            <w:r w:rsidRPr="008B220C">
              <w:rPr>
                <w:sz w:val="26"/>
                <w:szCs w:val="26"/>
                <w:lang w:val="uk-UA"/>
              </w:rPr>
              <w:t>СНІДу</w:t>
            </w:r>
            <w:proofErr w:type="spellEnd"/>
            <w:r w:rsidRPr="008B220C">
              <w:rPr>
                <w:sz w:val="26"/>
                <w:szCs w:val="26"/>
                <w:lang w:val="uk-UA"/>
              </w:rPr>
              <w:t xml:space="preserve"> та боротьби з наркоманією, підсумкових колегій Департаменту охорони здоров’я облдержадміністрації, де заслухано хід виконання Програми (</w:t>
            </w:r>
            <w:proofErr w:type="spellStart"/>
            <w:r w:rsidRPr="008B220C">
              <w:rPr>
                <w:sz w:val="26"/>
                <w:szCs w:val="26"/>
                <w:lang w:val="uk-UA"/>
              </w:rPr>
              <w:t>абс</w:t>
            </w:r>
            <w:proofErr w:type="spellEnd"/>
            <w:r w:rsidRPr="008B220C">
              <w:rPr>
                <w:sz w:val="26"/>
                <w:szCs w:val="26"/>
                <w:lang w:val="uk-UA"/>
              </w:rPr>
              <w:t>.)</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w:t>
            </w:r>
          </w:p>
        </w:tc>
      </w:tr>
      <w:tr w:rsidR="00E32EB2" w:rsidRPr="008B220C" w:rsidTr="005C2B45">
        <w:trPr>
          <w:trHeight w:val="1382"/>
          <w:jc w:val="center"/>
        </w:trPr>
        <w:tc>
          <w:tcPr>
            <w:tcW w:w="2468" w:type="dxa"/>
            <w:tcBorders>
              <w:top w:val="nil"/>
              <w:bottom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color w:val="000000"/>
                <w:sz w:val="26"/>
                <w:szCs w:val="26"/>
                <w:lang w:val="uk-UA"/>
              </w:rPr>
            </w:pPr>
            <w:r w:rsidRPr="008B220C">
              <w:rPr>
                <w:color w:val="000000"/>
                <w:sz w:val="26"/>
                <w:szCs w:val="26"/>
                <w:lang w:val="uk-UA"/>
              </w:rPr>
              <w:t>Проведено аналіз використання ресурсів протитуберкульозної служби та затверджено план оптимізації протитуберкульозної служби відповідно до Національної стратегії реформування системи надання медичної допомоги</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1</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r>
      <w:tr w:rsidR="00E32EB2" w:rsidRPr="008B220C" w:rsidTr="005C2B45">
        <w:trPr>
          <w:trHeight w:val="693"/>
          <w:jc w:val="center"/>
        </w:trPr>
        <w:tc>
          <w:tcPr>
            <w:tcW w:w="2468" w:type="dxa"/>
            <w:tcBorders>
              <w:top w:val="nil"/>
              <w:bottom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Розробити та затвердити наказ з впровадження алгоритму раннього виявлення захворювання легенів.</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1</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r>
      <w:tr w:rsidR="00E32EB2" w:rsidRPr="008B220C" w:rsidTr="005C2B45">
        <w:trPr>
          <w:trHeight w:val="274"/>
          <w:jc w:val="center"/>
        </w:trPr>
        <w:tc>
          <w:tcPr>
            <w:tcW w:w="2468" w:type="dxa"/>
            <w:tcBorders>
              <w:top w:val="nil"/>
              <w:bottom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Охоплення навчанням лікарів-фтизіатрів, районних фтизіатрів та лікарів Управління Державної пенітенціарної служби України в Полтавській області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85</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r>
      <w:tr w:rsidR="00E32EB2" w:rsidRPr="008B220C" w:rsidTr="005C2B45">
        <w:trPr>
          <w:trHeight w:val="286"/>
          <w:jc w:val="center"/>
        </w:trPr>
        <w:tc>
          <w:tcPr>
            <w:tcW w:w="2468" w:type="dxa"/>
            <w:tcBorders>
              <w:top w:val="nil"/>
              <w:bottom w:val="single" w:sz="4" w:space="0" w:color="auto"/>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Забезпечити соціальними працівниками кабінети контрольованого лікування</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w:t>
            </w:r>
          </w:p>
        </w:tc>
      </w:tr>
      <w:tr w:rsidR="00E32EB2" w:rsidRPr="008B220C" w:rsidTr="005C2B45">
        <w:trPr>
          <w:trHeight w:val="1418"/>
          <w:jc w:val="center"/>
        </w:trPr>
        <w:tc>
          <w:tcPr>
            <w:tcW w:w="2468" w:type="dxa"/>
            <w:tcBorders>
              <w:top w:val="single" w:sz="4" w:space="0" w:color="auto"/>
              <w:bottom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Створено умови лікування хворих на туберкульоз відповідно Стандартам інфекційного контролю шляхом продовження будівництва стаціонарного комплексу Полтавського обласного клінічного протитуберкульозного диспансеру</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r>
      <w:tr w:rsidR="00E32EB2" w:rsidRPr="008B220C" w:rsidTr="005C2B45">
        <w:trPr>
          <w:trHeight w:val="545"/>
          <w:jc w:val="center"/>
        </w:trPr>
        <w:tc>
          <w:tcPr>
            <w:tcW w:w="2468" w:type="dxa"/>
            <w:tcBorders>
              <w:top w:val="nil"/>
              <w:bottom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Кількість створених відділення для надання паліативної допомоги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r>
      <w:tr w:rsidR="00E32EB2" w:rsidRPr="008B220C" w:rsidTr="005C2B45">
        <w:trPr>
          <w:trHeight w:val="719"/>
          <w:jc w:val="center"/>
        </w:trPr>
        <w:tc>
          <w:tcPr>
            <w:tcW w:w="2468" w:type="dxa"/>
            <w:tcBorders>
              <w:top w:val="nil"/>
              <w:bottom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Кількість діючих сайтів замісної підтримувальної терапії на базі протитуберкульозних закладів</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r>
      <w:tr w:rsidR="00E32EB2" w:rsidRPr="008B220C" w:rsidTr="005C2B45">
        <w:trPr>
          <w:trHeight w:val="975"/>
          <w:jc w:val="center"/>
        </w:trPr>
        <w:tc>
          <w:tcPr>
            <w:tcW w:w="2468" w:type="dxa"/>
            <w:tcBorders>
              <w:top w:val="nil"/>
              <w:bottom w:val="nil"/>
            </w:tcBorders>
            <w:shd w:val="clear" w:color="auto" w:fill="auto"/>
            <w:noWrap/>
            <w:vAlign w:val="bottom"/>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Кількість створених відділень для лікування хворих на туберкульоз щодо яких судом ухвалено рішення про обов’язкову госпіталізацію та взяття під варту</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p>
        </w:tc>
        <w:tc>
          <w:tcPr>
            <w:tcW w:w="606" w:type="dxa"/>
            <w:shd w:val="clear" w:color="auto" w:fill="auto"/>
          </w:tcPr>
          <w:p w:rsidR="00E32EB2" w:rsidRPr="008B220C" w:rsidRDefault="00E32EB2" w:rsidP="0071068C">
            <w:pPr>
              <w:spacing w:line="216" w:lineRule="auto"/>
              <w:jc w:val="center"/>
              <w:rPr>
                <w:sz w:val="26"/>
                <w:szCs w:val="26"/>
                <w:lang w:val="uk-UA"/>
              </w:rPr>
            </w:pP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p>
        </w:tc>
      </w:tr>
      <w:tr w:rsidR="00E32EB2" w:rsidRPr="008B220C" w:rsidTr="005C2B45">
        <w:trPr>
          <w:trHeight w:val="691"/>
          <w:jc w:val="center"/>
        </w:trPr>
        <w:tc>
          <w:tcPr>
            <w:tcW w:w="2468" w:type="dxa"/>
            <w:tcBorders>
              <w:top w:val="nil"/>
              <w:bottom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Результати проведеного  контролю якості  мікроскопії мокротиння (% розходжень з контролем)</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w:t>
            </w:r>
          </w:p>
        </w:tc>
      </w:tr>
      <w:tr w:rsidR="00E32EB2" w:rsidRPr="008B220C" w:rsidTr="005C2B45">
        <w:trPr>
          <w:trHeight w:val="698"/>
          <w:jc w:val="center"/>
        </w:trPr>
        <w:tc>
          <w:tcPr>
            <w:tcW w:w="2468" w:type="dxa"/>
            <w:tcBorders>
              <w:top w:val="nil"/>
              <w:bottom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лабораторій І рівня, які включені в систему контролю якості лабораторної діагностики туберкульозу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r>
      <w:tr w:rsidR="00E32EB2" w:rsidRPr="008B220C" w:rsidTr="005C2B45">
        <w:trPr>
          <w:trHeight w:val="694"/>
          <w:jc w:val="center"/>
        </w:trPr>
        <w:tc>
          <w:tcPr>
            <w:tcW w:w="2468" w:type="dxa"/>
            <w:tcBorders>
              <w:top w:val="nil"/>
              <w:bottom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лабораторій ІІ рівня, які включені в систему контролю якості лабораторної діагностики туберкульозу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r>
      <w:tr w:rsidR="00E32EB2" w:rsidRPr="008B220C" w:rsidTr="005C2B45">
        <w:trPr>
          <w:trHeight w:val="703"/>
          <w:jc w:val="center"/>
        </w:trPr>
        <w:tc>
          <w:tcPr>
            <w:tcW w:w="2468" w:type="dxa"/>
            <w:tcBorders>
              <w:top w:val="nil"/>
              <w:bottom w:val="nil"/>
            </w:tcBorders>
            <w:shd w:val="clear" w:color="auto" w:fill="auto"/>
            <w:noWrap/>
            <w:vAlign w:val="bottom"/>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лабораторій ІІ рівня, які забезпечують якісне обслуговування обладнання згідно з діючими стандартами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r>
      <w:tr w:rsidR="00E32EB2" w:rsidRPr="008B220C" w:rsidTr="005C2B45">
        <w:trPr>
          <w:trHeight w:val="840"/>
          <w:jc w:val="center"/>
        </w:trPr>
        <w:tc>
          <w:tcPr>
            <w:tcW w:w="2468" w:type="dxa"/>
            <w:tcBorders>
              <w:top w:val="nil"/>
              <w:bottom w:val="nil"/>
            </w:tcBorders>
            <w:shd w:val="clear" w:color="auto" w:fill="auto"/>
            <w:noWrap/>
            <w:vAlign w:val="bottom"/>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color w:val="000000"/>
                <w:sz w:val="26"/>
                <w:szCs w:val="26"/>
                <w:lang w:val="uk-UA"/>
              </w:rPr>
            </w:pPr>
            <w:r w:rsidRPr="008B220C">
              <w:rPr>
                <w:color w:val="000000"/>
                <w:sz w:val="26"/>
                <w:szCs w:val="26"/>
                <w:lang w:val="uk-UA"/>
              </w:rPr>
              <w:t>Кількість лабораторій І-ІІІ рівня, які відповідають діючим стандартам, з</w:t>
            </w:r>
            <w:r w:rsidRPr="008B220C">
              <w:rPr>
                <w:sz w:val="26"/>
                <w:szCs w:val="26"/>
                <w:lang w:val="uk-UA"/>
              </w:rPr>
              <w:t>абезпечені</w:t>
            </w:r>
            <w:r w:rsidRPr="008B220C">
              <w:rPr>
                <w:color w:val="000000"/>
                <w:sz w:val="26"/>
                <w:szCs w:val="26"/>
                <w:lang w:val="uk-UA"/>
              </w:rPr>
              <w:t xml:space="preserve"> </w:t>
            </w:r>
            <w:r w:rsidRPr="008B220C">
              <w:rPr>
                <w:sz w:val="26"/>
                <w:szCs w:val="26"/>
                <w:lang w:val="uk-UA"/>
              </w:rPr>
              <w:t>необхідним лабораторним обладнанням та комп’ютерною технікою</w:t>
            </w:r>
            <w:r w:rsidRPr="008B220C">
              <w:rPr>
                <w:color w:val="000000"/>
                <w:sz w:val="26"/>
                <w:szCs w:val="26"/>
                <w:lang w:val="uk-UA"/>
              </w:rPr>
              <w:t xml:space="preserve"> (%)</w:t>
            </w:r>
          </w:p>
        </w:tc>
        <w:tc>
          <w:tcPr>
            <w:tcW w:w="671" w:type="dxa"/>
            <w:shd w:val="clear" w:color="auto" w:fill="auto"/>
          </w:tcPr>
          <w:p w:rsidR="00E32EB2" w:rsidRPr="008B220C" w:rsidRDefault="00E32EB2" w:rsidP="0071068C">
            <w:pPr>
              <w:spacing w:line="216" w:lineRule="auto"/>
              <w:jc w:val="center"/>
              <w:rPr>
                <w:color w:val="000000"/>
                <w:sz w:val="26"/>
                <w:szCs w:val="26"/>
                <w:lang w:val="uk-UA"/>
              </w:rPr>
            </w:pPr>
            <w:r w:rsidRPr="008B220C">
              <w:rPr>
                <w:color w:val="000000"/>
                <w:sz w:val="26"/>
                <w:szCs w:val="26"/>
                <w:lang w:val="uk-UA"/>
              </w:rPr>
              <w:t>100</w:t>
            </w:r>
          </w:p>
        </w:tc>
        <w:tc>
          <w:tcPr>
            <w:tcW w:w="671" w:type="dxa"/>
            <w:shd w:val="clear" w:color="auto" w:fill="auto"/>
          </w:tcPr>
          <w:p w:rsidR="00E32EB2" w:rsidRPr="008B220C" w:rsidRDefault="00E32EB2" w:rsidP="0071068C">
            <w:pPr>
              <w:spacing w:line="216" w:lineRule="auto"/>
              <w:jc w:val="center"/>
              <w:rPr>
                <w:color w:val="000000"/>
                <w:sz w:val="26"/>
                <w:szCs w:val="26"/>
                <w:lang w:val="uk-UA"/>
              </w:rPr>
            </w:pPr>
            <w:r w:rsidRPr="008B220C">
              <w:rPr>
                <w:color w:val="000000"/>
                <w:sz w:val="26"/>
                <w:szCs w:val="26"/>
                <w:lang w:val="uk-UA"/>
              </w:rPr>
              <w:t>70</w:t>
            </w:r>
          </w:p>
        </w:tc>
        <w:tc>
          <w:tcPr>
            <w:tcW w:w="606" w:type="dxa"/>
            <w:shd w:val="clear" w:color="auto" w:fill="auto"/>
          </w:tcPr>
          <w:p w:rsidR="00E32EB2" w:rsidRPr="008B220C" w:rsidRDefault="00E32EB2" w:rsidP="0071068C">
            <w:pPr>
              <w:spacing w:line="216" w:lineRule="auto"/>
              <w:jc w:val="center"/>
              <w:rPr>
                <w:color w:val="000000"/>
                <w:sz w:val="26"/>
                <w:szCs w:val="26"/>
                <w:lang w:val="uk-UA"/>
              </w:rPr>
            </w:pPr>
            <w:r w:rsidRPr="008B220C">
              <w:rPr>
                <w:color w:val="000000"/>
                <w:sz w:val="26"/>
                <w:szCs w:val="26"/>
                <w:lang w:val="uk-UA"/>
              </w:rPr>
              <w:t>80</w:t>
            </w:r>
          </w:p>
        </w:tc>
        <w:tc>
          <w:tcPr>
            <w:tcW w:w="671" w:type="dxa"/>
            <w:shd w:val="clear" w:color="auto" w:fill="auto"/>
          </w:tcPr>
          <w:p w:rsidR="00E32EB2" w:rsidRPr="008B220C" w:rsidRDefault="00E32EB2" w:rsidP="0071068C">
            <w:pPr>
              <w:spacing w:line="216" w:lineRule="auto"/>
              <w:jc w:val="center"/>
              <w:rPr>
                <w:color w:val="000000"/>
                <w:sz w:val="26"/>
                <w:szCs w:val="26"/>
                <w:lang w:val="uk-UA"/>
              </w:rPr>
            </w:pPr>
            <w:r w:rsidRPr="008B220C">
              <w:rPr>
                <w:color w:val="000000"/>
                <w:sz w:val="26"/>
                <w:szCs w:val="26"/>
                <w:lang w:val="uk-UA"/>
              </w:rPr>
              <w:t>100</w:t>
            </w:r>
          </w:p>
        </w:tc>
        <w:tc>
          <w:tcPr>
            <w:tcW w:w="671" w:type="dxa"/>
            <w:shd w:val="clear" w:color="auto" w:fill="auto"/>
          </w:tcPr>
          <w:p w:rsidR="00E32EB2" w:rsidRPr="008B220C" w:rsidRDefault="00E32EB2" w:rsidP="0071068C">
            <w:pPr>
              <w:spacing w:line="216" w:lineRule="auto"/>
              <w:jc w:val="center"/>
              <w:rPr>
                <w:color w:val="000000"/>
                <w:sz w:val="26"/>
                <w:szCs w:val="26"/>
                <w:lang w:val="uk-UA"/>
              </w:rPr>
            </w:pPr>
            <w:r w:rsidRPr="008B220C">
              <w:rPr>
                <w:color w:val="000000"/>
                <w:sz w:val="26"/>
                <w:szCs w:val="26"/>
                <w:lang w:val="uk-UA"/>
              </w:rPr>
              <w:t>100</w:t>
            </w:r>
          </w:p>
        </w:tc>
      </w:tr>
      <w:tr w:rsidR="00E32EB2" w:rsidRPr="008B220C" w:rsidTr="005C2B45">
        <w:trPr>
          <w:trHeight w:val="711"/>
          <w:jc w:val="center"/>
        </w:trPr>
        <w:tc>
          <w:tcPr>
            <w:tcW w:w="2468" w:type="dxa"/>
            <w:tcBorders>
              <w:top w:val="nil"/>
              <w:bottom w:val="single" w:sz="4" w:space="0" w:color="auto"/>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Впровадження інноваційних методів швидкої діагностики туберкульозу, в тому числі </w:t>
            </w:r>
            <w:proofErr w:type="spellStart"/>
            <w:r w:rsidRPr="008B220C">
              <w:rPr>
                <w:sz w:val="26"/>
                <w:szCs w:val="26"/>
                <w:lang w:val="uk-UA"/>
              </w:rPr>
              <w:t>мультирезистентного</w:t>
            </w:r>
            <w:proofErr w:type="spellEnd"/>
            <w:r w:rsidRPr="008B220C">
              <w:rPr>
                <w:sz w:val="26"/>
                <w:szCs w:val="26"/>
                <w:lang w:val="uk-UA"/>
              </w:rPr>
              <w:t xml:space="preserve">, у лабораторії ІІІ рівня молекулярно-генетичними методами шляхом закупівлі </w:t>
            </w:r>
            <w:r w:rsidRPr="008B220C">
              <w:rPr>
                <w:sz w:val="26"/>
                <w:szCs w:val="26"/>
                <w:lang w:val="uk-UA"/>
              </w:rPr>
              <w:lastRenderedPageBreak/>
              <w:t>обладнання та витратних матеріалів</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lastRenderedPageBreak/>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r>
      <w:tr w:rsidR="00E32EB2" w:rsidRPr="008B220C" w:rsidTr="005C2B45">
        <w:trPr>
          <w:trHeight w:val="930"/>
          <w:jc w:val="center"/>
        </w:trPr>
        <w:tc>
          <w:tcPr>
            <w:tcW w:w="2468" w:type="dxa"/>
            <w:vMerge w:val="restart"/>
            <w:tcBorders>
              <w:top w:val="single" w:sz="4" w:space="0" w:color="auto"/>
            </w:tcBorders>
            <w:shd w:val="clear" w:color="auto" w:fill="auto"/>
          </w:tcPr>
          <w:p w:rsidR="00E32EB2" w:rsidRPr="008B220C" w:rsidRDefault="00E32EB2" w:rsidP="0071068C">
            <w:pPr>
              <w:spacing w:line="216" w:lineRule="auto"/>
              <w:rPr>
                <w:sz w:val="26"/>
                <w:szCs w:val="26"/>
                <w:lang w:val="uk-UA"/>
              </w:rPr>
            </w:pPr>
            <w:r w:rsidRPr="008B220C">
              <w:rPr>
                <w:sz w:val="26"/>
                <w:szCs w:val="26"/>
                <w:lang w:val="uk-UA"/>
              </w:rPr>
              <w:lastRenderedPageBreak/>
              <w:t>2. Удосконалення системи моніторингу та оцінки результатів виконання Програми</w:t>
            </w:r>
          </w:p>
          <w:p w:rsidR="00E32EB2" w:rsidRPr="008B220C" w:rsidRDefault="00E32EB2" w:rsidP="0071068C">
            <w:pPr>
              <w:spacing w:line="216" w:lineRule="auto"/>
              <w:rPr>
                <w:sz w:val="26"/>
                <w:szCs w:val="26"/>
                <w:lang w:val="uk-UA"/>
              </w:rPr>
            </w:pPr>
            <w:r w:rsidRPr="008B220C">
              <w:rPr>
                <w:sz w:val="26"/>
                <w:szCs w:val="26"/>
                <w:lang w:val="uk-UA"/>
              </w:rPr>
              <w:t> </w:t>
            </w: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Кількість функціонуючих регіональних відділів моніторингу і оцінки заходів протидії захворюванню на туберкульоз та ТБ/ВІЛ ко-інфекції</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r>
      <w:tr w:rsidR="00E32EB2" w:rsidRPr="008B220C" w:rsidTr="005C2B45">
        <w:trPr>
          <w:trHeight w:val="830"/>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Впровадження електронного реєстру на обласному та регіональному рівнях та приведення системи звітності та обліку відповідно до міжнародних стандартів</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r>
      <w:tr w:rsidR="00E32EB2" w:rsidRPr="008B220C" w:rsidTr="005C2B45">
        <w:trPr>
          <w:trHeight w:val="759"/>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Кількість регіонів, в яких було здійснено моніторингові візити з центрального рівня (</w:t>
            </w:r>
            <w:proofErr w:type="spellStart"/>
            <w:r w:rsidRPr="008B220C">
              <w:rPr>
                <w:sz w:val="26"/>
                <w:szCs w:val="26"/>
                <w:lang w:val="uk-UA"/>
              </w:rPr>
              <w:t>абс</w:t>
            </w:r>
            <w:proofErr w:type="spellEnd"/>
            <w:r w:rsidRPr="008B220C">
              <w:rPr>
                <w:sz w:val="26"/>
                <w:szCs w:val="26"/>
                <w:lang w:val="uk-UA"/>
              </w:rPr>
              <w:t xml:space="preserve">.)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28</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28</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28</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28</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28</w:t>
            </w:r>
          </w:p>
        </w:tc>
      </w:tr>
      <w:tr w:rsidR="00E32EB2" w:rsidRPr="008B220C" w:rsidTr="005C2B45">
        <w:trPr>
          <w:trHeight w:val="840"/>
          <w:jc w:val="center"/>
        </w:trPr>
        <w:tc>
          <w:tcPr>
            <w:tcW w:w="2468" w:type="dxa"/>
            <w:vMerge w:val="restart"/>
            <w:shd w:val="clear" w:color="auto" w:fill="auto"/>
          </w:tcPr>
          <w:p w:rsidR="00E32EB2" w:rsidRPr="008B220C" w:rsidRDefault="00E32EB2" w:rsidP="0071068C">
            <w:pPr>
              <w:spacing w:line="216" w:lineRule="auto"/>
              <w:rPr>
                <w:sz w:val="26"/>
                <w:szCs w:val="26"/>
                <w:lang w:val="uk-UA"/>
              </w:rPr>
            </w:pPr>
            <w:r w:rsidRPr="008B220C">
              <w:rPr>
                <w:sz w:val="26"/>
                <w:szCs w:val="26"/>
                <w:lang w:val="uk-UA"/>
              </w:rPr>
              <w:t>3. Організація виявлення та діагностики туберкульозу</w:t>
            </w: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виявлення хворих на туберкульоз серед пацієнтів, обстежених методом мікроскопії мазка мокротиння в закладах загально-лікувальної мережі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4,5</w:t>
            </w:r>
          </w:p>
        </w:tc>
      </w:tr>
      <w:tr w:rsidR="00E32EB2" w:rsidRPr="008B220C" w:rsidTr="005C2B45">
        <w:trPr>
          <w:trHeight w:val="911"/>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Відсоток хворих з </w:t>
            </w:r>
            <w:proofErr w:type="spellStart"/>
            <w:r w:rsidRPr="008B220C">
              <w:rPr>
                <w:sz w:val="26"/>
                <w:szCs w:val="26"/>
                <w:lang w:val="uk-UA"/>
              </w:rPr>
              <w:t>бактеріовиділенням</w:t>
            </w:r>
            <w:proofErr w:type="spellEnd"/>
            <w:r w:rsidRPr="008B220C">
              <w:rPr>
                <w:sz w:val="26"/>
                <w:szCs w:val="26"/>
                <w:lang w:val="uk-UA"/>
              </w:rPr>
              <w:t xml:space="preserve"> </w:t>
            </w:r>
            <w:proofErr w:type="spellStart"/>
            <w:r w:rsidRPr="008B220C">
              <w:rPr>
                <w:sz w:val="26"/>
                <w:szCs w:val="26"/>
                <w:lang w:val="uk-UA"/>
              </w:rPr>
              <w:t>діагностованих</w:t>
            </w:r>
            <w:proofErr w:type="spellEnd"/>
            <w:r w:rsidRPr="008B220C">
              <w:rPr>
                <w:sz w:val="26"/>
                <w:szCs w:val="26"/>
                <w:lang w:val="uk-UA"/>
              </w:rPr>
              <w:t xml:space="preserve"> за допомогою </w:t>
            </w:r>
            <w:proofErr w:type="spellStart"/>
            <w:r w:rsidRPr="008B220C">
              <w:rPr>
                <w:sz w:val="26"/>
                <w:szCs w:val="26"/>
                <w:lang w:val="uk-UA"/>
              </w:rPr>
              <w:t>культуральних</w:t>
            </w:r>
            <w:proofErr w:type="spellEnd"/>
            <w:r w:rsidRPr="008B220C">
              <w:rPr>
                <w:sz w:val="26"/>
                <w:szCs w:val="26"/>
                <w:lang w:val="uk-UA"/>
              </w:rPr>
              <w:t xml:space="preserve"> методів дослідження в протитуберкульозних закладах</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54</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57</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60</w:t>
            </w:r>
          </w:p>
        </w:tc>
      </w:tr>
      <w:tr w:rsidR="00E32EB2" w:rsidRPr="008B220C" w:rsidTr="005C2B45">
        <w:trPr>
          <w:trHeight w:val="824"/>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хворих на туберкульоз 1 – 3 категорії, яким  проведено діагностику за допомогою посіву на рідкі поживні середовища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w:t>
            </w:r>
          </w:p>
        </w:tc>
      </w:tr>
      <w:tr w:rsidR="00E32EB2" w:rsidRPr="008B220C" w:rsidTr="005C2B45">
        <w:trPr>
          <w:trHeight w:val="739"/>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Кількість хворих на туберкульоз, які перебувають в слідчому ізоляторі, що охоплені бактеріологічним обстеженням  (</w:t>
            </w:r>
            <w:proofErr w:type="spellStart"/>
            <w:r w:rsidRPr="008B220C">
              <w:rPr>
                <w:sz w:val="26"/>
                <w:szCs w:val="26"/>
                <w:lang w:val="uk-UA"/>
              </w:rPr>
              <w:t>абс</w:t>
            </w:r>
            <w:proofErr w:type="spellEnd"/>
            <w:r w:rsidRPr="008B220C">
              <w:rPr>
                <w:sz w:val="26"/>
                <w:szCs w:val="26"/>
                <w:lang w:val="uk-UA"/>
              </w:rPr>
              <w:t>.)</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220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55</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55</w:t>
            </w:r>
          </w:p>
        </w:tc>
      </w:tr>
      <w:tr w:rsidR="00E32EB2" w:rsidRPr="008B220C" w:rsidTr="005C2B45">
        <w:trPr>
          <w:trHeight w:val="423"/>
          <w:jc w:val="center"/>
        </w:trPr>
        <w:tc>
          <w:tcPr>
            <w:tcW w:w="2468" w:type="dxa"/>
            <w:vMerge/>
            <w:shd w:val="clear" w:color="auto" w:fill="auto"/>
            <w:noWrap/>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охоплення хворих на  туберкульоз рентгенологічним обстеженням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r>
      <w:tr w:rsidR="00E32EB2" w:rsidRPr="008B220C" w:rsidTr="005C2B45">
        <w:trPr>
          <w:trHeight w:val="729"/>
          <w:jc w:val="center"/>
        </w:trPr>
        <w:tc>
          <w:tcPr>
            <w:tcW w:w="2468" w:type="dxa"/>
            <w:vMerge/>
            <w:shd w:val="clear" w:color="auto" w:fill="auto"/>
            <w:noWrap/>
          </w:tcPr>
          <w:p w:rsidR="00E32EB2" w:rsidRPr="008B220C" w:rsidRDefault="00E32EB2" w:rsidP="0071068C">
            <w:pPr>
              <w:spacing w:line="216" w:lineRule="auto"/>
              <w:rPr>
                <w:rFonts w:ascii="Arial" w:hAnsi="Arial" w:cs="Arial"/>
                <w:sz w:val="26"/>
                <w:szCs w:val="26"/>
                <w:lang w:val="uk-UA"/>
              </w:rPr>
            </w:pPr>
          </w:p>
        </w:tc>
        <w:tc>
          <w:tcPr>
            <w:tcW w:w="3854" w:type="dxa"/>
          </w:tcPr>
          <w:p w:rsidR="00E32EB2" w:rsidRPr="008B220C" w:rsidRDefault="00E32EB2" w:rsidP="0071068C">
            <w:pPr>
              <w:spacing w:line="216" w:lineRule="auto"/>
              <w:rPr>
                <w:sz w:val="26"/>
                <w:szCs w:val="26"/>
                <w:lang w:val="uk-UA"/>
              </w:rPr>
            </w:pPr>
            <w:r w:rsidRPr="008B220C">
              <w:rPr>
                <w:sz w:val="26"/>
                <w:szCs w:val="26"/>
                <w:lang w:val="uk-UA"/>
              </w:rPr>
              <w:t>Зміцнення матеріально-технічної бази за рахунок закупівлі обладнання та покращання його обслуговування</w:t>
            </w:r>
          </w:p>
        </w:tc>
        <w:tc>
          <w:tcPr>
            <w:tcW w:w="671" w:type="dxa"/>
          </w:tcPr>
          <w:p w:rsidR="00E32EB2" w:rsidRPr="008B220C" w:rsidRDefault="00E32EB2" w:rsidP="0071068C">
            <w:pPr>
              <w:spacing w:line="216" w:lineRule="auto"/>
              <w:rPr>
                <w:sz w:val="26"/>
                <w:szCs w:val="26"/>
                <w:lang w:val="uk-UA"/>
              </w:rPr>
            </w:pPr>
            <w:r w:rsidRPr="008B220C">
              <w:rPr>
                <w:sz w:val="26"/>
                <w:szCs w:val="26"/>
                <w:lang w:val="uk-UA"/>
              </w:rPr>
              <w:t>4</w:t>
            </w:r>
          </w:p>
        </w:tc>
        <w:tc>
          <w:tcPr>
            <w:tcW w:w="671" w:type="dxa"/>
          </w:tcPr>
          <w:p w:rsidR="00E32EB2" w:rsidRPr="008B220C" w:rsidRDefault="00E32EB2" w:rsidP="0071068C">
            <w:pPr>
              <w:spacing w:line="216" w:lineRule="auto"/>
              <w:rPr>
                <w:sz w:val="26"/>
                <w:szCs w:val="26"/>
                <w:lang w:val="uk-UA"/>
              </w:rPr>
            </w:pPr>
            <w:r w:rsidRPr="008B220C">
              <w:rPr>
                <w:sz w:val="26"/>
                <w:szCs w:val="26"/>
                <w:lang w:val="uk-UA"/>
              </w:rPr>
              <w:t>0</w:t>
            </w:r>
          </w:p>
        </w:tc>
        <w:tc>
          <w:tcPr>
            <w:tcW w:w="606" w:type="dxa"/>
          </w:tcPr>
          <w:p w:rsidR="00E32EB2" w:rsidRPr="008B220C" w:rsidRDefault="00E32EB2" w:rsidP="0071068C">
            <w:pPr>
              <w:spacing w:line="216" w:lineRule="auto"/>
              <w:rPr>
                <w:sz w:val="26"/>
                <w:szCs w:val="26"/>
                <w:lang w:val="uk-UA"/>
              </w:rPr>
            </w:pPr>
            <w:r w:rsidRPr="008B220C">
              <w:rPr>
                <w:sz w:val="26"/>
                <w:szCs w:val="26"/>
                <w:lang w:val="uk-UA"/>
              </w:rPr>
              <w:t>1</w:t>
            </w:r>
          </w:p>
        </w:tc>
        <w:tc>
          <w:tcPr>
            <w:tcW w:w="671" w:type="dxa"/>
          </w:tcPr>
          <w:p w:rsidR="00E32EB2" w:rsidRPr="008B220C" w:rsidRDefault="00E32EB2" w:rsidP="0071068C">
            <w:pPr>
              <w:spacing w:line="216" w:lineRule="auto"/>
              <w:rPr>
                <w:sz w:val="26"/>
                <w:szCs w:val="26"/>
                <w:lang w:val="uk-UA"/>
              </w:rPr>
            </w:pPr>
            <w:r w:rsidRPr="008B220C">
              <w:rPr>
                <w:sz w:val="26"/>
                <w:szCs w:val="26"/>
                <w:lang w:val="uk-UA"/>
              </w:rPr>
              <w:t>1</w:t>
            </w:r>
          </w:p>
        </w:tc>
        <w:tc>
          <w:tcPr>
            <w:tcW w:w="671" w:type="dxa"/>
          </w:tcPr>
          <w:p w:rsidR="00E32EB2" w:rsidRPr="008B220C" w:rsidRDefault="00E32EB2" w:rsidP="0071068C">
            <w:pPr>
              <w:spacing w:line="216" w:lineRule="auto"/>
              <w:rPr>
                <w:sz w:val="26"/>
                <w:szCs w:val="26"/>
                <w:lang w:val="uk-UA"/>
              </w:rPr>
            </w:pPr>
            <w:r w:rsidRPr="008B220C">
              <w:rPr>
                <w:sz w:val="26"/>
                <w:szCs w:val="26"/>
                <w:lang w:val="uk-UA"/>
              </w:rPr>
              <w:t>1</w:t>
            </w:r>
          </w:p>
        </w:tc>
      </w:tr>
      <w:tr w:rsidR="00E32EB2" w:rsidRPr="008B220C" w:rsidTr="005C2B45">
        <w:trPr>
          <w:trHeight w:val="497"/>
          <w:jc w:val="center"/>
        </w:trPr>
        <w:tc>
          <w:tcPr>
            <w:tcW w:w="2468" w:type="dxa"/>
            <w:vMerge/>
            <w:shd w:val="clear" w:color="auto" w:fill="auto"/>
            <w:noWrap/>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Відсоток дитячого населення, які охоплені </w:t>
            </w:r>
            <w:proofErr w:type="spellStart"/>
            <w:r w:rsidRPr="008B220C">
              <w:rPr>
                <w:sz w:val="26"/>
                <w:szCs w:val="26"/>
                <w:lang w:val="uk-UA"/>
              </w:rPr>
              <w:t>туберкулінодіагностикою</w:t>
            </w:r>
            <w:proofErr w:type="spellEnd"/>
            <w:r w:rsidRPr="008B220C">
              <w:rPr>
                <w:sz w:val="26"/>
                <w:szCs w:val="26"/>
                <w:lang w:val="uk-UA"/>
              </w:rPr>
              <w:t xml:space="preserve">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98</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92</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98</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98</w:t>
            </w:r>
          </w:p>
        </w:tc>
      </w:tr>
      <w:tr w:rsidR="00E32EB2" w:rsidRPr="008B220C" w:rsidTr="005C2B45">
        <w:trPr>
          <w:trHeight w:val="688"/>
          <w:jc w:val="center"/>
        </w:trPr>
        <w:tc>
          <w:tcPr>
            <w:tcW w:w="2468" w:type="dxa"/>
            <w:vMerge/>
            <w:shd w:val="clear" w:color="auto" w:fill="auto"/>
            <w:noWrap/>
            <w:vAlign w:val="bottom"/>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Відсоток осіб, які перебувають в місцях позбавлення волі, обстежених пересувною </w:t>
            </w:r>
            <w:r w:rsidRPr="008B220C">
              <w:rPr>
                <w:sz w:val="26"/>
                <w:szCs w:val="26"/>
                <w:lang w:val="uk-UA"/>
              </w:rPr>
              <w:lastRenderedPageBreak/>
              <w:t>флюорографічною установкою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lastRenderedPageBreak/>
              <w:t>30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30</w:t>
            </w:r>
          </w:p>
        </w:tc>
      </w:tr>
      <w:tr w:rsidR="00E32EB2" w:rsidRPr="008B220C" w:rsidTr="005C2B45">
        <w:trPr>
          <w:trHeight w:val="699"/>
          <w:jc w:val="center"/>
        </w:trPr>
        <w:tc>
          <w:tcPr>
            <w:tcW w:w="2468" w:type="dxa"/>
            <w:vMerge/>
            <w:shd w:val="clear" w:color="auto" w:fill="auto"/>
            <w:noWrap/>
            <w:vAlign w:val="bottom"/>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Кількість засуджених осіб та взятих під варту з підозрою на туберкульоз, обстежених </w:t>
            </w:r>
            <w:proofErr w:type="spellStart"/>
            <w:r w:rsidRPr="008B220C">
              <w:rPr>
                <w:sz w:val="26"/>
                <w:szCs w:val="26"/>
                <w:lang w:val="uk-UA"/>
              </w:rPr>
              <w:t>рентгенологічно</w:t>
            </w:r>
            <w:proofErr w:type="spellEnd"/>
            <w:r w:rsidRPr="008B220C">
              <w:rPr>
                <w:sz w:val="26"/>
                <w:szCs w:val="26"/>
                <w:lang w:val="uk-UA"/>
              </w:rPr>
              <w:t xml:space="preserve"> (</w:t>
            </w:r>
            <w:proofErr w:type="spellStart"/>
            <w:r w:rsidRPr="008B220C">
              <w:rPr>
                <w:sz w:val="26"/>
                <w:szCs w:val="26"/>
                <w:lang w:val="uk-UA"/>
              </w:rPr>
              <w:t>абс</w:t>
            </w:r>
            <w:proofErr w:type="spellEnd"/>
            <w:r w:rsidRPr="008B220C">
              <w:rPr>
                <w:sz w:val="26"/>
                <w:szCs w:val="26"/>
                <w:lang w:val="uk-UA"/>
              </w:rPr>
              <w:t>.)</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w:t>
            </w:r>
          </w:p>
        </w:tc>
      </w:tr>
      <w:tr w:rsidR="00E32EB2" w:rsidRPr="008B220C" w:rsidTr="005C2B45">
        <w:trPr>
          <w:trHeight w:val="767"/>
          <w:jc w:val="center"/>
        </w:trPr>
        <w:tc>
          <w:tcPr>
            <w:tcW w:w="2468" w:type="dxa"/>
            <w:vMerge w:val="restart"/>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4. </w:t>
            </w:r>
            <w:r w:rsidRPr="008B220C">
              <w:rPr>
                <w:bCs/>
                <w:sz w:val="26"/>
                <w:szCs w:val="26"/>
                <w:lang w:val="uk-UA"/>
              </w:rPr>
              <w:t>Лікування та профілактика туберкульозу</w:t>
            </w: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хворих на туберкульоз 1-3 категорії, яким призначена стандартна хіміотерапія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r>
      <w:tr w:rsidR="00E32EB2" w:rsidRPr="008B220C" w:rsidTr="005C2B45">
        <w:trPr>
          <w:trHeight w:val="349"/>
          <w:jc w:val="center"/>
        </w:trPr>
        <w:tc>
          <w:tcPr>
            <w:tcW w:w="2468" w:type="dxa"/>
            <w:vMerge/>
            <w:vAlign w:val="center"/>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Показник успішного лікування (вилікуваних та лікування завершено) серед нових випадків легеневого туберкульозу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65</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r>
      <w:tr w:rsidR="00E32EB2" w:rsidRPr="008B220C" w:rsidTr="005C2B45">
        <w:trPr>
          <w:trHeight w:val="708"/>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протитуберкульозних закладів, у яких видатки на патогенетичне лікування відповідають розрахунковим потребам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w:t>
            </w:r>
          </w:p>
        </w:tc>
      </w:tr>
      <w:tr w:rsidR="00E32EB2" w:rsidRPr="008B220C" w:rsidTr="005C2B45">
        <w:trPr>
          <w:trHeight w:val="844"/>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Відсоток вилікуваних хворих 1, 2, 4 категорії за допомогою хірургічних методів від тих, яким було проведено оперативне втручання (%)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r>
      <w:tr w:rsidR="00E32EB2" w:rsidRPr="008B220C" w:rsidTr="005C2B45">
        <w:trPr>
          <w:trHeight w:val="617"/>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протитуберкульозних закладів, у яких видатки на харчування відповідають нормативним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w:t>
            </w:r>
          </w:p>
        </w:tc>
      </w:tr>
      <w:tr w:rsidR="00E32EB2" w:rsidRPr="008B220C" w:rsidTr="005C2B45">
        <w:trPr>
          <w:trHeight w:val="627"/>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хворих на туберкульоз 1-4, які отримали контрольоване лікування на амбулаторному етапі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75</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r>
      <w:tr w:rsidR="00E32EB2" w:rsidRPr="008B220C" w:rsidTr="005C2B45">
        <w:trPr>
          <w:trHeight w:val="637"/>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Показник перерваного лікування серед нових випадків легеневого туберкульозу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6,8</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w:t>
            </w:r>
          </w:p>
        </w:tc>
      </w:tr>
      <w:tr w:rsidR="00E32EB2" w:rsidRPr="008B220C" w:rsidTr="005C2B45">
        <w:trPr>
          <w:trHeight w:val="741"/>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Показник перерваного лікування серед  випадків повторного лікування легеневого туберкульозу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11,2</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w:t>
            </w:r>
          </w:p>
        </w:tc>
      </w:tr>
      <w:tr w:rsidR="00E32EB2" w:rsidRPr="008B220C" w:rsidTr="005C2B45">
        <w:trPr>
          <w:trHeight w:val="557"/>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Відсоток хворих на </w:t>
            </w:r>
            <w:proofErr w:type="spellStart"/>
            <w:r w:rsidRPr="008B220C">
              <w:rPr>
                <w:sz w:val="26"/>
                <w:szCs w:val="26"/>
                <w:lang w:val="uk-UA"/>
              </w:rPr>
              <w:t>МР</w:t>
            </w:r>
            <w:proofErr w:type="spellEnd"/>
            <w:r w:rsidRPr="008B220C">
              <w:rPr>
                <w:sz w:val="26"/>
                <w:szCs w:val="26"/>
                <w:lang w:val="uk-UA"/>
              </w:rPr>
              <w:t xml:space="preserve"> ТБ, що отримують соціальну допомогу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r>
      <w:tr w:rsidR="00E32EB2" w:rsidRPr="008B220C" w:rsidTr="005C2B45">
        <w:trPr>
          <w:trHeight w:val="893"/>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Показник доходження хворих на туберкульоз, звільнених з пенітенціарних установ області осіб для продовження лікування в стаціонарних амбулаторних умовах (особи)</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360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r>
      <w:tr w:rsidR="00E32EB2" w:rsidRPr="008B220C" w:rsidTr="005C2B45">
        <w:trPr>
          <w:trHeight w:val="948"/>
          <w:jc w:val="center"/>
        </w:trPr>
        <w:tc>
          <w:tcPr>
            <w:tcW w:w="2468" w:type="dxa"/>
            <w:vMerge/>
            <w:tcBorders>
              <w:bottom w:val="single" w:sz="4" w:space="0" w:color="auto"/>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доходження хворих на туберкульоз, звільнених з пенітенціарних установ для продовження лікування в стаціонарних, амбулаторних умовах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72</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74</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r>
      <w:tr w:rsidR="00E32EB2" w:rsidRPr="008B220C" w:rsidTr="005C2B45">
        <w:trPr>
          <w:trHeight w:val="976"/>
          <w:jc w:val="center"/>
        </w:trPr>
        <w:tc>
          <w:tcPr>
            <w:tcW w:w="2468" w:type="dxa"/>
            <w:vMerge w:val="restart"/>
            <w:tcBorders>
              <w:bottom w:val="nil"/>
            </w:tcBorders>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5. Протидія поширенню </w:t>
            </w:r>
            <w:proofErr w:type="spellStart"/>
            <w:r w:rsidRPr="008B220C">
              <w:rPr>
                <w:sz w:val="26"/>
                <w:szCs w:val="26"/>
                <w:lang w:val="uk-UA"/>
              </w:rPr>
              <w:t>мультирезистентного</w:t>
            </w:r>
            <w:proofErr w:type="spellEnd"/>
            <w:r w:rsidRPr="008B220C">
              <w:rPr>
                <w:sz w:val="26"/>
                <w:szCs w:val="26"/>
                <w:lang w:val="uk-UA"/>
              </w:rPr>
              <w:t xml:space="preserve"> туберкульозу та туберкульозу з розширеною медикаментозною резистентністю</w:t>
            </w: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Кількість регіонів, у яких функціонують відділення для лікування хворих на  </w:t>
            </w:r>
            <w:proofErr w:type="spellStart"/>
            <w:r w:rsidRPr="008B220C">
              <w:rPr>
                <w:sz w:val="26"/>
                <w:szCs w:val="26"/>
                <w:lang w:val="uk-UA"/>
              </w:rPr>
              <w:t>мультирезистентний</w:t>
            </w:r>
            <w:proofErr w:type="spellEnd"/>
            <w:r w:rsidRPr="008B220C">
              <w:rPr>
                <w:sz w:val="26"/>
                <w:szCs w:val="26"/>
                <w:lang w:val="uk-UA"/>
              </w:rPr>
              <w:t xml:space="preserve"> туберкульоз у відповідності до потреб у стаціонарному лікуванні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3 </w:t>
            </w:r>
          </w:p>
        </w:tc>
      </w:tr>
      <w:tr w:rsidR="00E32EB2" w:rsidRPr="008B220C" w:rsidTr="005C2B45">
        <w:trPr>
          <w:trHeight w:val="835"/>
          <w:jc w:val="center"/>
        </w:trPr>
        <w:tc>
          <w:tcPr>
            <w:tcW w:w="2468" w:type="dxa"/>
            <w:vMerge/>
            <w:tcBorders>
              <w:bottom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Забезпечення необхідними препаратами для надання </w:t>
            </w:r>
            <w:proofErr w:type="spellStart"/>
            <w:r w:rsidRPr="008B220C">
              <w:rPr>
                <w:sz w:val="26"/>
                <w:szCs w:val="26"/>
                <w:lang w:val="uk-UA"/>
              </w:rPr>
              <w:t>хоспісної</w:t>
            </w:r>
            <w:proofErr w:type="spellEnd"/>
            <w:r w:rsidRPr="008B220C">
              <w:rPr>
                <w:sz w:val="26"/>
                <w:szCs w:val="26"/>
                <w:lang w:val="uk-UA"/>
              </w:rPr>
              <w:t xml:space="preserve"> та паліативної допомоги згідно до потреби хворим на туберкульоз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r>
      <w:tr w:rsidR="00E32EB2" w:rsidRPr="008B220C" w:rsidTr="005C2B45">
        <w:trPr>
          <w:trHeight w:val="1046"/>
          <w:jc w:val="center"/>
        </w:trPr>
        <w:tc>
          <w:tcPr>
            <w:tcW w:w="2468" w:type="dxa"/>
            <w:vMerge/>
            <w:tcBorders>
              <w:bottom w:val="nil"/>
            </w:tcBorders>
            <w:shd w:val="clear" w:color="auto" w:fill="auto"/>
            <w:noWrap/>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Відсоток хворих з новими випадками </w:t>
            </w:r>
            <w:proofErr w:type="spellStart"/>
            <w:r w:rsidRPr="008B220C">
              <w:rPr>
                <w:sz w:val="26"/>
                <w:szCs w:val="26"/>
                <w:lang w:val="uk-UA"/>
              </w:rPr>
              <w:t>мультирезистентного</w:t>
            </w:r>
            <w:proofErr w:type="spellEnd"/>
            <w:r w:rsidRPr="008B220C">
              <w:rPr>
                <w:sz w:val="26"/>
                <w:szCs w:val="26"/>
                <w:lang w:val="uk-UA"/>
              </w:rPr>
              <w:t xml:space="preserve"> туберкульозу, які розпочали лікування відповідно до затверджених схем та забезпечені протитуберкульозними препаратами ІІ ряду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75</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85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w:t>
            </w:r>
          </w:p>
        </w:tc>
      </w:tr>
      <w:tr w:rsidR="00E32EB2" w:rsidRPr="008B220C" w:rsidTr="005C2B45">
        <w:trPr>
          <w:trHeight w:val="878"/>
          <w:jc w:val="center"/>
        </w:trPr>
        <w:tc>
          <w:tcPr>
            <w:tcW w:w="2468" w:type="dxa"/>
            <w:vMerge/>
            <w:tcBorders>
              <w:bottom w:val="nil"/>
            </w:tcBorders>
            <w:shd w:val="clear" w:color="auto" w:fill="auto"/>
            <w:noWrap/>
            <w:vAlign w:val="bottom"/>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Показник успішного лікування (вилікуваних та лікування завершено) серед нових випадків </w:t>
            </w:r>
            <w:proofErr w:type="spellStart"/>
            <w:r w:rsidRPr="008B220C">
              <w:rPr>
                <w:sz w:val="26"/>
                <w:szCs w:val="26"/>
                <w:lang w:val="uk-UA"/>
              </w:rPr>
              <w:t>МР</w:t>
            </w:r>
            <w:proofErr w:type="spellEnd"/>
            <w:r w:rsidRPr="008B220C">
              <w:rPr>
                <w:sz w:val="26"/>
                <w:szCs w:val="26"/>
                <w:lang w:val="uk-UA"/>
              </w:rPr>
              <w:t xml:space="preserve"> ТБ, які розпочали лікування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35</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45</w:t>
            </w:r>
          </w:p>
        </w:tc>
      </w:tr>
      <w:tr w:rsidR="00E32EB2" w:rsidRPr="008B220C" w:rsidTr="005C2B45">
        <w:trPr>
          <w:trHeight w:val="948"/>
          <w:jc w:val="center"/>
        </w:trPr>
        <w:tc>
          <w:tcPr>
            <w:tcW w:w="2468" w:type="dxa"/>
            <w:vMerge w:val="restart"/>
            <w:tcBorders>
              <w:top w:val="nil"/>
            </w:tcBorders>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Розроблено обласний план із впровадження Стандартів інфекційного контролю туберкульозу в медичних закладах Полтавської області</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1</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r>
      <w:tr w:rsidR="00E32EB2" w:rsidRPr="008B220C" w:rsidTr="005C2B45">
        <w:trPr>
          <w:trHeight w:val="761"/>
          <w:jc w:val="center"/>
        </w:trPr>
        <w:tc>
          <w:tcPr>
            <w:tcW w:w="2468" w:type="dxa"/>
            <w:vMerge/>
            <w:vAlign w:val="center"/>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Кількість медичних працівників протитуберкульозних закладів, які захворіли на туберкульоз (</w:t>
            </w:r>
            <w:proofErr w:type="spellStart"/>
            <w:r w:rsidRPr="008B220C">
              <w:rPr>
                <w:sz w:val="26"/>
                <w:szCs w:val="26"/>
                <w:lang w:val="uk-UA"/>
              </w:rPr>
              <w:t>абс</w:t>
            </w:r>
            <w:proofErr w:type="spellEnd"/>
            <w:r w:rsidRPr="008B220C">
              <w:rPr>
                <w:sz w:val="26"/>
                <w:szCs w:val="26"/>
                <w:lang w:val="uk-UA"/>
              </w:rPr>
              <w:t>.)</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0</w:t>
            </w:r>
          </w:p>
        </w:tc>
      </w:tr>
      <w:tr w:rsidR="00E32EB2" w:rsidRPr="008B220C" w:rsidTr="005C2B45">
        <w:trPr>
          <w:trHeight w:val="633"/>
          <w:jc w:val="center"/>
        </w:trPr>
        <w:tc>
          <w:tcPr>
            <w:tcW w:w="2468" w:type="dxa"/>
            <w:vMerge/>
            <w:shd w:val="clear" w:color="auto" w:fill="auto"/>
            <w:noWrap/>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Захворюваність на туберкульоз медичних працівників закладів загально лікувальної мережі (на 10 тис. медичних працівників)</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r>
      <w:tr w:rsidR="00E32EB2" w:rsidRPr="008B220C" w:rsidTr="005C2B45">
        <w:trPr>
          <w:trHeight w:val="556"/>
          <w:jc w:val="center"/>
        </w:trPr>
        <w:tc>
          <w:tcPr>
            <w:tcW w:w="2468" w:type="dxa"/>
            <w:vMerge/>
            <w:shd w:val="clear" w:color="auto" w:fill="auto"/>
            <w:noWrap/>
            <w:vAlign w:val="bottom"/>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 xml:space="preserve">Кількість протитуберкульозних закладів, які на 100 % забезпечені бактерицидними </w:t>
            </w:r>
            <w:proofErr w:type="spellStart"/>
            <w:r w:rsidRPr="008B220C">
              <w:rPr>
                <w:sz w:val="26"/>
                <w:szCs w:val="26"/>
                <w:lang w:val="uk-UA"/>
              </w:rPr>
              <w:t>УФ-випромінювачами</w:t>
            </w:r>
            <w:proofErr w:type="spellEnd"/>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w:t>
            </w:r>
          </w:p>
        </w:tc>
      </w:tr>
      <w:tr w:rsidR="00E32EB2" w:rsidRPr="008B220C" w:rsidTr="005C2B45">
        <w:trPr>
          <w:trHeight w:val="704"/>
          <w:jc w:val="center"/>
        </w:trPr>
        <w:tc>
          <w:tcPr>
            <w:tcW w:w="2468" w:type="dxa"/>
            <w:vMerge/>
            <w:shd w:val="clear" w:color="auto" w:fill="auto"/>
            <w:noWrap/>
            <w:vAlign w:val="bottom"/>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Кількість відділень/палат для хворих на заразні форми ТБ, які забезпечені вентиляційними системами</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2</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w:t>
            </w:r>
          </w:p>
        </w:tc>
      </w:tr>
      <w:tr w:rsidR="00E32EB2" w:rsidRPr="008B220C" w:rsidTr="005C2B45">
        <w:trPr>
          <w:trHeight w:val="986"/>
          <w:jc w:val="center"/>
        </w:trPr>
        <w:tc>
          <w:tcPr>
            <w:tcW w:w="2468" w:type="dxa"/>
            <w:vMerge/>
            <w:shd w:val="clear" w:color="auto" w:fill="auto"/>
            <w:noWrap/>
            <w:vAlign w:val="bottom"/>
          </w:tcPr>
          <w:p w:rsidR="00E32EB2" w:rsidRPr="008B220C" w:rsidRDefault="00E32EB2" w:rsidP="0071068C">
            <w:pPr>
              <w:spacing w:line="216" w:lineRule="auto"/>
              <w:rPr>
                <w:rFonts w:ascii="Arial" w:hAnsi="Arial" w:cs="Arial"/>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медичних працівників, що контактують з хворими на туберкульоз, які забезпечені засобами індивідуального захисту органів дихання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100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90 </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95 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100 </w:t>
            </w:r>
          </w:p>
        </w:tc>
      </w:tr>
      <w:tr w:rsidR="00E32EB2" w:rsidRPr="008B220C" w:rsidTr="005C2B45">
        <w:trPr>
          <w:trHeight w:val="1128"/>
          <w:jc w:val="center"/>
        </w:trPr>
        <w:tc>
          <w:tcPr>
            <w:tcW w:w="2468"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6. Здійснення заходів протидії захворюванню на ко-інфекцію (</w:t>
            </w:r>
            <w:proofErr w:type="spellStart"/>
            <w:r w:rsidRPr="008B220C">
              <w:rPr>
                <w:sz w:val="26"/>
                <w:szCs w:val="26"/>
                <w:lang w:val="uk-UA"/>
              </w:rPr>
              <w:t>туберклуьоз</w:t>
            </w:r>
            <w:proofErr w:type="spellEnd"/>
            <w:r w:rsidRPr="008B220C">
              <w:rPr>
                <w:sz w:val="26"/>
                <w:szCs w:val="26"/>
                <w:lang w:val="uk-UA"/>
              </w:rPr>
              <w:t>/</w:t>
            </w:r>
            <w:proofErr w:type="spellStart"/>
            <w:r w:rsidRPr="008B220C">
              <w:rPr>
                <w:sz w:val="26"/>
                <w:szCs w:val="26"/>
                <w:lang w:val="uk-UA"/>
              </w:rPr>
              <w:t>ВІЛ-інфекцїя</w:t>
            </w:r>
            <w:proofErr w:type="spellEnd"/>
            <w:r w:rsidRPr="008B220C">
              <w:rPr>
                <w:sz w:val="26"/>
                <w:szCs w:val="26"/>
                <w:lang w:val="uk-UA"/>
              </w:rPr>
              <w:t>/СНІД)</w:t>
            </w:r>
          </w:p>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Знизити темп приросту захворюваності на ТБ/ВІЛ ко-інфекцію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30</w:t>
            </w:r>
          </w:p>
        </w:tc>
      </w:tr>
      <w:tr w:rsidR="00E32EB2" w:rsidRPr="008B220C" w:rsidTr="005C2B45">
        <w:trPr>
          <w:trHeight w:val="495"/>
          <w:jc w:val="center"/>
        </w:trPr>
        <w:tc>
          <w:tcPr>
            <w:tcW w:w="2468" w:type="dxa"/>
            <w:vMerge w:val="restart"/>
            <w:shd w:val="clear" w:color="auto" w:fill="auto"/>
          </w:tcPr>
          <w:p w:rsidR="00E32EB2" w:rsidRPr="008B220C" w:rsidRDefault="00E32EB2" w:rsidP="0071068C">
            <w:pPr>
              <w:spacing w:line="216" w:lineRule="auto"/>
              <w:rPr>
                <w:sz w:val="26"/>
                <w:szCs w:val="26"/>
                <w:lang w:val="uk-UA"/>
              </w:rPr>
            </w:pPr>
            <w:r w:rsidRPr="008B220C">
              <w:rPr>
                <w:sz w:val="26"/>
                <w:szCs w:val="26"/>
                <w:lang w:val="uk-UA"/>
              </w:rPr>
              <w:t>7. Створення сприятливого соціального середовища для діяльності інститутів громадського суспільства, спрямованої на подолання епідемії туберкульозу</w:t>
            </w: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Розробити та затвердити обласну стратегію з АКСМ</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1</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1</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 </w:t>
            </w:r>
          </w:p>
        </w:tc>
      </w:tr>
      <w:tr w:rsidR="00E32EB2" w:rsidRPr="008B220C" w:rsidTr="005C2B45">
        <w:trPr>
          <w:trHeight w:val="720"/>
          <w:jc w:val="center"/>
        </w:trPr>
        <w:tc>
          <w:tcPr>
            <w:tcW w:w="2468" w:type="dxa"/>
            <w:vMerge/>
            <w:shd w:val="clear" w:color="auto" w:fill="auto"/>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Кількість хворих на туберкульоз, яких виявлено за допомогою неурядових організації (НУО)</w:t>
            </w:r>
          </w:p>
        </w:tc>
        <w:tc>
          <w:tcPr>
            <w:tcW w:w="671" w:type="dxa"/>
            <w:shd w:val="clear" w:color="auto" w:fill="auto"/>
            <w:noWrap/>
          </w:tcPr>
          <w:p w:rsidR="00E32EB2" w:rsidRPr="008B220C" w:rsidRDefault="00E32EB2" w:rsidP="0071068C">
            <w:pPr>
              <w:spacing w:line="216" w:lineRule="auto"/>
              <w:jc w:val="center"/>
              <w:rPr>
                <w:sz w:val="26"/>
                <w:szCs w:val="26"/>
                <w:lang w:val="uk-UA"/>
              </w:rPr>
            </w:pPr>
            <w:r w:rsidRPr="008B220C">
              <w:rPr>
                <w:sz w:val="26"/>
                <w:szCs w:val="26"/>
                <w:lang w:val="uk-UA"/>
              </w:rPr>
              <w:t>80</w:t>
            </w:r>
          </w:p>
        </w:tc>
        <w:tc>
          <w:tcPr>
            <w:tcW w:w="671" w:type="dxa"/>
            <w:shd w:val="clear" w:color="auto" w:fill="auto"/>
            <w:noWrap/>
          </w:tcPr>
          <w:p w:rsidR="00E32EB2" w:rsidRPr="008B220C" w:rsidRDefault="00E32EB2" w:rsidP="0071068C">
            <w:pPr>
              <w:spacing w:line="216" w:lineRule="auto"/>
              <w:jc w:val="center"/>
              <w:rPr>
                <w:sz w:val="26"/>
                <w:szCs w:val="26"/>
                <w:lang w:val="uk-UA"/>
              </w:rPr>
            </w:pPr>
            <w:r w:rsidRPr="008B220C">
              <w:rPr>
                <w:sz w:val="26"/>
                <w:szCs w:val="26"/>
                <w:lang w:val="uk-UA"/>
              </w:rPr>
              <w:t>20</w:t>
            </w:r>
          </w:p>
        </w:tc>
        <w:tc>
          <w:tcPr>
            <w:tcW w:w="606" w:type="dxa"/>
            <w:shd w:val="clear" w:color="auto" w:fill="auto"/>
            <w:noWrap/>
          </w:tcPr>
          <w:p w:rsidR="00E32EB2" w:rsidRPr="008B220C" w:rsidRDefault="00E32EB2" w:rsidP="0071068C">
            <w:pPr>
              <w:spacing w:line="216" w:lineRule="auto"/>
              <w:jc w:val="center"/>
              <w:rPr>
                <w:sz w:val="26"/>
                <w:szCs w:val="26"/>
                <w:lang w:val="uk-UA"/>
              </w:rPr>
            </w:pPr>
            <w:r w:rsidRPr="008B220C">
              <w:rPr>
                <w:sz w:val="26"/>
                <w:szCs w:val="26"/>
                <w:lang w:val="uk-UA"/>
              </w:rPr>
              <w:t>20</w:t>
            </w:r>
          </w:p>
        </w:tc>
        <w:tc>
          <w:tcPr>
            <w:tcW w:w="671" w:type="dxa"/>
            <w:shd w:val="clear" w:color="auto" w:fill="auto"/>
            <w:noWrap/>
          </w:tcPr>
          <w:p w:rsidR="00E32EB2" w:rsidRPr="008B220C" w:rsidRDefault="00E32EB2" w:rsidP="0071068C">
            <w:pPr>
              <w:spacing w:line="216" w:lineRule="auto"/>
              <w:jc w:val="center"/>
              <w:rPr>
                <w:sz w:val="26"/>
                <w:szCs w:val="26"/>
                <w:lang w:val="uk-UA"/>
              </w:rPr>
            </w:pPr>
            <w:r w:rsidRPr="008B220C">
              <w:rPr>
                <w:sz w:val="26"/>
                <w:szCs w:val="26"/>
                <w:lang w:val="uk-UA"/>
              </w:rPr>
              <w:t>20</w:t>
            </w:r>
          </w:p>
        </w:tc>
        <w:tc>
          <w:tcPr>
            <w:tcW w:w="671" w:type="dxa"/>
            <w:shd w:val="clear" w:color="auto" w:fill="auto"/>
            <w:noWrap/>
          </w:tcPr>
          <w:p w:rsidR="00E32EB2" w:rsidRPr="008B220C" w:rsidRDefault="00E32EB2" w:rsidP="0071068C">
            <w:pPr>
              <w:spacing w:line="216" w:lineRule="auto"/>
              <w:jc w:val="center"/>
              <w:rPr>
                <w:sz w:val="26"/>
                <w:szCs w:val="26"/>
                <w:lang w:val="uk-UA"/>
              </w:rPr>
            </w:pPr>
            <w:r w:rsidRPr="008B220C">
              <w:rPr>
                <w:sz w:val="26"/>
                <w:szCs w:val="26"/>
                <w:lang w:val="uk-UA"/>
              </w:rPr>
              <w:t>20</w:t>
            </w:r>
          </w:p>
        </w:tc>
      </w:tr>
      <w:tr w:rsidR="00E32EB2" w:rsidRPr="008B220C" w:rsidTr="005C2B45">
        <w:trPr>
          <w:trHeight w:val="851"/>
          <w:jc w:val="center"/>
        </w:trPr>
        <w:tc>
          <w:tcPr>
            <w:tcW w:w="2468" w:type="dxa"/>
            <w:vMerge/>
            <w:vAlign w:val="center"/>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виявлених хворих на туберкульоз за допомогою НУО, які розпочали лікування туберкульозу не більше ніж через 2 тижні після встановлення діагнозу</w:t>
            </w:r>
          </w:p>
        </w:tc>
        <w:tc>
          <w:tcPr>
            <w:tcW w:w="671" w:type="dxa"/>
            <w:shd w:val="clear" w:color="auto" w:fill="auto"/>
            <w:noWrap/>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noWrap/>
          </w:tcPr>
          <w:p w:rsidR="00E32EB2" w:rsidRPr="008B220C" w:rsidRDefault="00E32EB2" w:rsidP="0071068C">
            <w:pPr>
              <w:spacing w:line="216" w:lineRule="auto"/>
              <w:jc w:val="center"/>
              <w:rPr>
                <w:sz w:val="26"/>
                <w:szCs w:val="26"/>
                <w:lang w:val="uk-UA"/>
              </w:rPr>
            </w:pPr>
            <w:r w:rsidRPr="008B220C">
              <w:rPr>
                <w:sz w:val="26"/>
                <w:szCs w:val="26"/>
                <w:lang w:val="uk-UA"/>
              </w:rPr>
              <w:t>95</w:t>
            </w:r>
          </w:p>
        </w:tc>
        <w:tc>
          <w:tcPr>
            <w:tcW w:w="606" w:type="dxa"/>
            <w:shd w:val="clear" w:color="auto" w:fill="auto"/>
            <w:noWrap/>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noWrap/>
          </w:tcPr>
          <w:p w:rsidR="00E32EB2" w:rsidRPr="008B220C" w:rsidRDefault="00E32EB2" w:rsidP="0071068C">
            <w:pPr>
              <w:spacing w:line="216" w:lineRule="auto"/>
              <w:jc w:val="center"/>
              <w:rPr>
                <w:sz w:val="26"/>
                <w:szCs w:val="26"/>
                <w:lang w:val="uk-UA"/>
              </w:rPr>
            </w:pPr>
            <w:r w:rsidRPr="008B220C">
              <w:rPr>
                <w:sz w:val="26"/>
                <w:szCs w:val="26"/>
                <w:lang w:val="uk-UA"/>
              </w:rPr>
              <w:t>100</w:t>
            </w:r>
          </w:p>
        </w:tc>
        <w:tc>
          <w:tcPr>
            <w:tcW w:w="671" w:type="dxa"/>
            <w:shd w:val="clear" w:color="auto" w:fill="auto"/>
            <w:noWrap/>
          </w:tcPr>
          <w:p w:rsidR="00E32EB2" w:rsidRPr="008B220C" w:rsidRDefault="00E32EB2" w:rsidP="0071068C">
            <w:pPr>
              <w:spacing w:line="216" w:lineRule="auto"/>
              <w:jc w:val="center"/>
              <w:rPr>
                <w:sz w:val="26"/>
                <w:szCs w:val="26"/>
                <w:lang w:val="uk-UA"/>
              </w:rPr>
            </w:pPr>
            <w:r w:rsidRPr="008B220C">
              <w:rPr>
                <w:sz w:val="26"/>
                <w:szCs w:val="26"/>
                <w:lang w:val="uk-UA"/>
              </w:rPr>
              <w:t>100</w:t>
            </w:r>
          </w:p>
        </w:tc>
      </w:tr>
      <w:tr w:rsidR="00E32EB2" w:rsidRPr="008B220C" w:rsidTr="005C2B45">
        <w:trPr>
          <w:trHeight w:val="779"/>
          <w:jc w:val="center"/>
        </w:trPr>
        <w:tc>
          <w:tcPr>
            <w:tcW w:w="2468" w:type="dxa"/>
            <w:vMerge/>
            <w:vAlign w:val="center"/>
          </w:tcPr>
          <w:p w:rsidR="00E32EB2" w:rsidRPr="008B220C" w:rsidRDefault="00E32EB2" w:rsidP="0071068C">
            <w:pPr>
              <w:spacing w:line="216" w:lineRule="auto"/>
              <w:rPr>
                <w:sz w:val="26"/>
                <w:szCs w:val="26"/>
                <w:lang w:val="uk-UA"/>
              </w:rPr>
            </w:pPr>
          </w:p>
        </w:tc>
        <w:tc>
          <w:tcPr>
            <w:tcW w:w="3854" w:type="dxa"/>
            <w:shd w:val="clear" w:color="auto" w:fill="auto"/>
          </w:tcPr>
          <w:p w:rsidR="00E32EB2" w:rsidRPr="008B220C" w:rsidRDefault="00E32EB2" w:rsidP="0071068C">
            <w:pPr>
              <w:spacing w:line="216" w:lineRule="auto"/>
              <w:rPr>
                <w:sz w:val="26"/>
                <w:szCs w:val="26"/>
                <w:lang w:val="uk-UA"/>
              </w:rPr>
            </w:pPr>
            <w:r w:rsidRPr="008B220C">
              <w:rPr>
                <w:sz w:val="26"/>
                <w:szCs w:val="26"/>
                <w:lang w:val="uk-UA"/>
              </w:rPr>
              <w:t>Відсоток вперше виявлених хворих на ТБ, які отримали соціальний супровід та підтримку протягом лікування ТБ (%)</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30</w:t>
            </w:r>
          </w:p>
        </w:tc>
        <w:tc>
          <w:tcPr>
            <w:tcW w:w="606"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40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50</w:t>
            </w:r>
          </w:p>
        </w:tc>
        <w:tc>
          <w:tcPr>
            <w:tcW w:w="671" w:type="dxa"/>
            <w:shd w:val="clear" w:color="auto" w:fill="auto"/>
          </w:tcPr>
          <w:p w:rsidR="00E32EB2" w:rsidRPr="008B220C" w:rsidRDefault="00E32EB2" w:rsidP="0071068C">
            <w:pPr>
              <w:spacing w:line="216" w:lineRule="auto"/>
              <w:jc w:val="center"/>
              <w:rPr>
                <w:sz w:val="26"/>
                <w:szCs w:val="26"/>
                <w:lang w:val="uk-UA"/>
              </w:rPr>
            </w:pPr>
            <w:r w:rsidRPr="008B220C">
              <w:rPr>
                <w:sz w:val="26"/>
                <w:szCs w:val="26"/>
                <w:lang w:val="uk-UA"/>
              </w:rPr>
              <w:t>60</w:t>
            </w:r>
          </w:p>
        </w:tc>
      </w:tr>
    </w:tbl>
    <w:p w:rsidR="004C1877" w:rsidRPr="008B220C" w:rsidRDefault="004C1877" w:rsidP="008B220C">
      <w:pPr>
        <w:rPr>
          <w:b/>
          <w:sz w:val="26"/>
          <w:szCs w:val="26"/>
          <w:lang w:val="uk-UA"/>
        </w:rPr>
      </w:pPr>
    </w:p>
    <w:sectPr w:rsidR="004C1877" w:rsidRPr="008B220C" w:rsidSect="00E5018E">
      <w:pgSz w:w="11906" w:h="16838" w:code="9"/>
      <w:pgMar w:top="1134" w:right="425" w:bottom="1134" w:left="851" w:header="283" w:footer="283"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68C" w:rsidRDefault="0071068C" w:rsidP="00002513">
      <w:r>
        <w:separator/>
      </w:r>
    </w:p>
  </w:endnote>
  <w:endnote w:type="continuationSeparator" w:id="1">
    <w:p w:rsidR="0071068C" w:rsidRDefault="0071068C" w:rsidP="000025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063"/>
    </w:sdtPr>
    <w:sdtContent>
      <w:p w:rsidR="0071068C" w:rsidRDefault="0071068C">
        <w:pPr>
          <w:pStyle w:val="a6"/>
          <w:jc w:val="right"/>
        </w:pPr>
        <w:fldSimple w:instr=" PAGE   \* MERGEFORMAT ">
          <w:r w:rsidR="00D017B6">
            <w:rPr>
              <w:noProof/>
            </w:rPr>
            <w:t>16</w:t>
          </w:r>
        </w:fldSimple>
      </w:p>
    </w:sdtContent>
  </w:sdt>
  <w:p w:rsidR="0071068C" w:rsidRDefault="0071068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68C" w:rsidRDefault="0071068C" w:rsidP="00002513">
      <w:r>
        <w:separator/>
      </w:r>
    </w:p>
  </w:footnote>
  <w:footnote w:type="continuationSeparator" w:id="1">
    <w:p w:rsidR="0071068C" w:rsidRDefault="0071068C" w:rsidP="000025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15735"/>
    <w:multiLevelType w:val="hybridMultilevel"/>
    <w:tmpl w:val="88360C4A"/>
    <w:lvl w:ilvl="0" w:tplc="FFFFFFFF">
      <w:start w:val="3"/>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nsid w:val="703736CD"/>
    <w:multiLevelType w:val="hybridMultilevel"/>
    <w:tmpl w:val="0AEA044E"/>
    <w:lvl w:ilvl="0" w:tplc="FFFFFFFF">
      <w:start w:val="3"/>
      <w:numFmt w:val="bullet"/>
      <w:lvlText w:val="-"/>
      <w:lvlJc w:val="left"/>
      <w:pPr>
        <w:ind w:left="1071" w:hanging="360"/>
      </w:pPr>
      <w:rPr>
        <w:rFonts w:ascii="Times New Roman" w:eastAsia="Times New Roman" w:hAnsi="Times New Roman" w:cs="Times New Roman" w:hint="default"/>
      </w:rPr>
    </w:lvl>
    <w:lvl w:ilvl="1" w:tplc="04220003" w:tentative="1">
      <w:start w:val="1"/>
      <w:numFmt w:val="bullet"/>
      <w:lvlText w:val="o"/>
      <w:lvlJc w:val="left"/>
      <w:pPr>
        <w:ind w:left="1791" w:hanging="360"/>
      </w:pPr>
      <w:rPr>
        <w:rFonts w:ascii="Courier New" w:hAnsi="Courier New" w:cs="Courier New" w:hint="default"/>
      </w:rPr>
    </w:lvl>
    <w:lvl w:ilvl="2" w:tplc="04220005" w:tentative="1">
      <w:start w:val="1"/>
      <w:numFmt w:val="bullet"/>
      <w:lvlText w:val=""/>
      <w:lvlJc w:val="left"/>
      <w:pPr>
        <w:ind w:left="2511" w:hanging="360"/>
      </w:pPr>
      <w:rPr>
        <w:rFonts w:ascii="Wingdings" w:hAnsi="Wingdings" w:hint="default"/>
      </w:rPr>
    </w:lvl>
    <w:lvl w:ilvl="3" w:tplc="04220001" w:tentative="1">
      <w:start w:val="1"/>
      <w:numFmt w:val="bullet"/>
      <w:lvlText w:val=""/>
      <w:lvlJc w:val="left"/>
      <w:pPr>
        <w:ind w:left="3231" w:hanging="360"/>
      </w:pPr>
      <w:rPr>
        <w:rFonts w:ascii="Symbol" w:hAnsi="Symbol" w:hint="default"/>
      </w:rPr>
    </w:lvl>
    <w:lvl w:ilvl="4" w:tplc="04220003" w:tentative="1">
      <w:start w:val="1"/>
      <w:numFmt w:val="bullet"/>
      <w:lvlText w:val="o"/>
      <w:lvlJc w:val="left"/>
      <w:pPr>
        <w:ind w:left="3951" w:hanging="360"/>
      </w:pPr>
      <w:rPr>
        <w:rFonts w:ascii="Courier New" w:hAnsi="Courier New" w:cs="Courier New" w:hint="default"/>
      </w:rPr>
    </w:lvl>
    <w:lvl w:ilvl="5" w:tplc="04220005" w:tentative="1">
      <w:start w:val="1"/>
      <w:numFmt w:val="bullet"/>
      <w:lvlText w:val=""/>
      <w:lvlJc w:val="left"/>
      <w:pPr>
        <w:ind w:left="4671" w:hanging="360"/>
      </w:pPr>
      <w:rPr>
        <w:rFonts w:ascii="Wingdings" w:hAnsi="Wingdings" w:hint="default"/>
      </w:rPr>
    </w:lvl>
    <w:lvl w:ilvl="6" w:tplc="04220001" w:tentative="1">
      <w:start w:val="1"/>
      <w:numFmt w:val="bullet"/>
      <w:lvlText w:val=""/>
      <w:lvlJc w:val="left"/>
      <w:pPr>
        <w:ind w:left="5391" w:hanging="360"/>
      </w:pPr>
      <w:rPr>
        <w:rFonts w:ascii="Symbol" w:hAnsi="Symbol" w:hint="default"/>
      </w:rPr>
    </w:lvl>
    <w:lvl w:ilvl="7" w:tplc="04220003" w:tentative="1">
      <w:start w:val="1"/>
      <w:numFmt w:val="bullet"/>
      <w:lvlText w:val="o"/>
      <w:lvlJc w:val="left"/>
      <w:pPr>
        <w:ind w:left="6111" w:hanging="360"/>
      </w:pPr>
      <w:rPr>
        <w:rFonts w:ascii="Courier New" w:hAnsi="Courier New" w:cs="Courier New" w:hint="default"/>
      </w:rPr>
    </w:lvl>
    <w:lvl w:ilvl="8" w:tplc="04220005" w:tentative="1">
      <w:start w:val="1"/>
      <w:numFmt w:val="bullet"/>
      <w:lvlText w:val=""/>
      <w:lvlJc w:val="left"/>
      <w:pPr>
        <w:ind w:left="6831"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8F1EFB"/>
    <w:rsid w:val="00002513"/>
    <w:rsid w:val="00004DEC"/>
    <w:rsid w:val="00045A40"/>
    <w:rsid w:val="00072D43"/>
    <w:rsid w:val="00077F7A"/>
    <w:rsid w:val="00095C42"/>
    <w:rsid w:val="000B2CF1"/>
    <w:rsid w:val="00105568"/>
    <w:rsid w:val="0013616F"/>
    <w:rsid w:val="00170B95"/>
    <w:rsid w:val="00183A25"/>
    <w:rsid w:val="001C5E1F"/>
    <w:rsid w:val="001E6B4D"/>
    <w:rsid w:val="001F31A9"/>
    <w:rsid w:val="00276624"/>
    <w:rsid w:val="002A479A"/>
    <w:rsid w:val="002F496E"/>
    <w:rsid w:val="00311723"/>
    <w:rsid w:val="003631F2"/>
    <w:rsid w:val="0037241B"/>
    <w:rsid w:val="003800FE"/>
    <w:rsid w:val="003A1F23"/>
    <w:rsid w:val="00445DA2"/>
    <w:rsid w:val="004C1877"/>
    <w:rsid w:val="004E2027"/>
    <w:rsid w:val="005829BD"/>
    <w:rsid w:val="005C29AF"/>
    <w:rsid w:val="005C2B45"/>
    <w:rsid w:val="006006B7"/>
    <w:rsid w:val="00646F6A"/>
    <w:rsid w:val="0067536D"/>
    <w:rsid w:val="0069099C"/>
    <w:rsid w:val="006C55B6"/>
    <w:rsid w:val="0071068C"/>
    <w:rsid w:val="00731E05"/>
    <w:rsid w:val="007A5CE5"/>
    <w:rsid w:val="007C5DEA"/>
    <w:rsid w:val="008342FC"/>
    <w:rsid w:val="00875833"/>
    <w:rsid w:val="008B220C"/>
    <w:rsid w:val="008F1EFB"/>
    <w:rsid w:val="0091504C"/>
    <w:rsid w:val="009F142B"/>
    <w:rsid w:val="00A032F5"/>
    <w:rsid w:val="00A5289E"/>
    <w:rsid w:val="00B7573A"/>
    <w:rsid w:val="00B91FB1"/>
    <w:rsid w:val="00C71B8D"/>
    <w:rsid w:val="00D017B6"/>
    <w:rsid w:val="00D10641"/>
    <w:rsid w:val="00D220E5"/>
    <w:rsid w:val="00E23015"/>
    <w:rsid w:val="00E32EB2"/>
    <w:rsid w:val="00E5018E"/>
    <w:rsid w:val="00E81F3C"/>
    <w:rsid w:val="00F360CA"/>
    <w:rsid w:val="00FB44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FB"/>
    <w:pPr>
      <w:spacing w:after="0" w:line="240" w:lineRule="auto"/>
    </w:pPr>
    <w:rPr>
      <w:rFonts w:ascii="Times New Roman" w:hAnsi="Times New Roman"/>
      <w:sz w:val="28"/>
    </w:rPr>
  </w:style>
  <w:style w:type="paragraph" w:styleId="1">
    <w:name w:val="heading 1"/>
    <w:basedOn w:val="a"/>
    <w:next w:val="a"/>
    <w:link w:val="10"/>
    <w:qFormat/>
    <w:rsid w:val="004E2027"/>
    <w:pPr>
      <w:keepNext/>
      <w:ind w:firstLine="708"/>
      <w:jc w:val="center"/>
      <w:outlineLvl w:val="0"/>
    </w:pPr>
    <w:rPr>
      <w:rFonts w:eastAsia="Times New Roman" w:cs="Times New Roman"/>
      <w:b/>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14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4E2027"/>
    <w:rPr>
      <w:rFonts w:ascii="Times New Roman" w:eastAsia="Times New Roman" w:hAnsi="Times New Roman" w:cs="Times New Roman"/>
      <w:b/>
      <w:sz w:val="28"/>
      <w:szCs w:val="24"/>
      <w:lang w:val="uk-UA" w:eastAsia="ru-RU"/>
    </w:rPr>
  </w:style>
  <w:style w:type="paragraph" w:styleId="a4">
    <w:name w:val="header"/>
    <w:basedOn w:val="a"/>
    <w:link w:val="a5"/>
    <w:uiPriority w:val="99"/>
    <w:semiHidden/>
    <w:unhideWhenUsed/>
    <w:rsid w:val="00002513"/>
    <w:pPr>
      <w:tabs>
        <w:tab w:val="center" w:pos="4677"/>
        <w:tab w:val="right" w:pos="9355"/>
      </w:tabs>
    </w:pPr>
  </w:style>
  <w:style w:type="character" w:customStyle="1" w:styleId="a5">
    <w:name w:val="Верхний колонтитул Знак"/>
    <w:basedOn w:val="a0"/>
    <w:link w:val="a4"/>
    <w:uiPriority w:val="99"/>
    <w:semiHidden/>
    <w:rsid w:val="00002513"/>
    <w:rPr>
      <w:rFonts w:ascii="Times New Roman" w:hAnsi="Times New Roman"/>
      <w:sz w:val="28"/>
    </w:rPr>
  </w:style>
  <w:style w:type="paragraph" w:styleId="a6">
    <w:name w:val="footer"/>
    <w:basedOn w:val="a"/>
    <w:link w:val="a7"/>
    <w:uiPriority w:val="99"/>
    <w:unhideWhenUsed/>
    <w:rsid w:val="00002513"/>
    <w:pPr>
      <w:tabs>
        <w:tab w:val="center" w:pos="4677"/>
        <w:tab w:val="right" w:pos="9355"/>
      </w:tabs>
    </w:pPr>
  </w:style>
  <w:style w:type="character" w:customStyle="1" w:styleId="a7">
    <w:name w:val="Нижний колонтитул Знак"/>
    <w:basedOn w:val="a0"/>
    <w:link w:val="a6"/>
    <w:uiPriority w:val="99"/>
    <w:rsid w:val="00002513"/>
    <w:rPr>
      <w:rFonts w:ascii="Times New Roman" w:hAnsi="Times New Roman"/>
      <w:sz w:val="28"/>
    </w:rPr>
  </w:style>
  <w:style w:type="paragraph" w:styleId="a8">
    <w:name w:val="Balloon Text"/>
    <w:basedOn w:val="a"/>
    <w:link w:val="a9"/>
    <w:uiPriority w:val="99"/>
    <w:semiHidden/>
    <w:unhideWhenUsed/>
    <w:rsid w:val="00875833"/>
    <w:rPr>
      <w:rFonts w:ascii="Tahoma" w:hAnsi="Tahoma" w:cs="Tahoma"/>
      <w:sz w:val="16"/>
      <w:szCs w:val="16"/>
    </w:rPr>
  </w:style>
  <w:style w:type="character" w:customStyle="1" w:styleId="a9">
    <w:name w:val="Текст выноски Знак"/>
    <w:basedOn w:val="a0"/>
    <w:link w:val="a8"/>
    <w:uiPriority w:val="99"/>
    <w:semiHidden/>
    <w:rsid w:val="008758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B46DB-E686-4C0A-BDB4-0327407AD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24</Pages>
  <Words>7470</Words>
  <Characters>42584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cp:lastPrinted>2013-02-06T12:54:00Z</cp:lastPrinted>
  <dcterms:created xsi:type="dcterms:W3CDTF">2013-01-23T12:05:00Z</dcterms:created>
  <dcterms:modified xsi:type="dcterms:W3CDTF">2013-02-09T13:55:00Z</dcterms:modified>
</cp:coreProperties>
</file>